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98D06" w14:textId="4F59733F" w:rsidR="00BB7B30" w:rsidRPr="009E0336" w:rsidRDefault="00BB7B30" w:rsidP="00BB7B30">
      <w:pPr>
        <w:spacing w:after="0" w:line="240" w:lineRule="auto"/>
        <w:rPr>
          <w:rFonts w:ascii="Times New Roman" w:hAnsi="Times New Roman" w:cs="Times New Roman"/>
          <w:sz w:val="20"/>
          <w:szCs w:val="20"/>
        </w:rPr>
      </w:pPr>
      <w:r w:rsidRPr="009E0336">
        <w:rPr>
          <w:rFonts w:ascii="Times New Roman" w:hAnsi="Times New Roman" w:cs="Times New Roman"/>
          <w:sz w:val="20"/>
          <w:szCs w:val="20"/>
        </w:rPr>
        <w:t>Klasa: 003-06/24-01/1</w:t>
      </w:r>
      <w:r w:rsidR="009E0336" w:rsidRPr="009E0336">
        <w:rPr>
          <w:rFonts w:ascii="Times New Roman" w:hAnsi="Times New Roman" w:cs="Times New Roman"/>
          <w:sz w:val="20"/>
          <w:szCs w:val="20"/>
        </w:rPr>
        <w:t>2</w:t>
      </w:r>
    </w:p>
    <w:p w14:paraId="6993EC47" w14:textId="12BEFEA8" w:rsidR="00BB7B30" w:rsidRPr="009E0336" w:rsidRDefault="00BB7B30" w:rsidP="00BB7B30">
      <w:pPr>
        <w:spacing w:after="0" w:line="240" w:lineRule="auto"/>
        <w:rPr>
          <w:rFonts w:ascii="Times New Roman" w:hAnsi="Times New Roman" w:cs="Times New Roman"/>
          <w:sz w:val="20"/>
          <w:szCs w:val="20"/>
        </w:rPr>
      </w:pPr>
      <w:proofErr w:type="spellStart"/>
      <w:r w:rsidRPr="009E0336">
        <w:rPr>
          <w:rFonts w:ascii="Times New Roman" w:hAnsi="Times New Roman" w:cs="Times New Roman"/>
          <w:sz w:val="20"/>
          <w:szCs w:val="20"/>
        </w:rPr>
        <w:t>Ur</w:t>
      </w:r>
      <w:proofErr w:type="spellEnd"/>
      <w:r w:rsidRPr="009E0336">
        <w:rPr>
          <w:rFonts w:ascii="Times New Roman" w:hAnsi="Times New Roman" w:cs="Times New Roman"/>
          <w:sz w:val="20"/>
          <w:szCs w:val="20"/>
        </w:rPr>
        <w:t>. broj: 2181-148-01-06-24-</w:t>
      </w:r>
      <w:r w:rsidR="00C263E3" w:rsidRPr="009E0336">
        <w:rPr>
          <w:rFonts w:ascii="Times New Roman" w:hAnsi="Times New Roman" w:cs="Times New Roman"/>
          <w:sz w:val="20"/>
          <w:szCs w:val="20"/>
        </w:rPr>
        <w:t>2</w:t>
      </w:r>
    </w:p>
    <w:p w14:paraId="6ADC5C79" w14:textId="7465B1C2" w:rsidR="00BB7B30" w:rsidRPr="009E0336" w:rsidRDefault="00BB7B30" w:rsidP="00BB7B30">
      <w:pPr>
        <w:spacing w:after="0" w:line="240" w:lineRule="auto"/>
        <w:rPr>
          <w:rFonts w:ascii="Times New Roman" w:hAnsi="Times New Roman" w:cs="Times New Roman"/>
          <w:sz w:val="20"/>
          <w:szCs w:val="20"/>
        </w:rPr>
      </w:pPr>
      <w:r w:rsidRPr="009E0336">
        <w:rPr>
          <w:rFonts w:ascii="Times New Roman" w:hAnsi="Times New Roman" w:cs="Times New Roman"/>
          <w:sz w:val="20"/>
          <w:szCs w:val="20"/>
        </w:rPr>
        <w:t>Split, 1</w:t>
      </w:r>
      <w:r w:rsidR="009E0336" w:rsidRPr="009E0336">
        <w:rPr>
          <w:rFonts w:ascii="Times New Roman" w:hAnsi="Times New Roman" w:cs="Times New Roman"/>
          <w:sz w:val="20"/>
          <w:szCs w:val="20"/>
        </w:rPr>
        <w:t>9</w:t>
      </w:r>
      <w:r w:rsidRPr="009E0336">
        <w:rPr>
          <w:rFonts w:ascii="Times New Roman" w:hAnsi="Times New Roman" w:cs="Times New Roman"/>
          <w:sz w:val="20"/>
          <w:szCs w:val="20"/>
        </w:rPr>
        <w:t xml:space="preserve">. </w:t>
      </w:r>
      <w:r w:rsidR="009E0336" w:rsidRPr="009E0336">
        <w:rPr>
          <w:rFonts w:ascii="Times New Roman" w:hAnsi="Times New Roman" w:cs="Times New Roman"/>
          <w:sz w:val="20"/>
          <w:szCs w:val="20"/>
        </w:rPr>
        <w:t xml:space="preserve">prosinca </w:t>
      </w:r>
      <w:r w:rsidRPr="009E0336">
        <w:rPr>
          <w:rFonts w:ascii="Times New Roman" w:hAnsi="Times New Roman" w:cs="Times New Roman"/>
          <w:sz w:val="20"/>
          <w:szCs w:val="20"/>
        </w:rPr>
        <w:t>2024. godine</w:t>
      </w:r>
    </w:p>
    <w:p w14:paraId="22D47164" w14:textId="77777777" w:rsidR="00BB7B30" w:rsidRPr="009E0336" w:rsidRDefault="00BB7B30" w:rsidP="00BB7B30">
      <w:pPr>
        <w:spacing w:after="0" w:line="240" w:lineRule="auto"/>
        <w:rPr>
          <w:rFonts w:ascii="Times New Roman" w:hAnsi="Times New Roman" w:cs="Times New Roman"/>
          <w:sz w:val="20"/>
          <w:szCs w:val="20"/>
        </w:rPr>
      </w:pPr>
    </w:p>
    <w:p w14:paraId="4B0EBE4D" w14:textId="77777777" w:rsidR="00BB7B30" w:rsidRPr="009E0336" w:rsidRDefault="00BB7B30" w:rsidP="00BB7B30">
      <w:pPr>
        <w:spacing w:after="0" w:line="240" w:lineRule="auto"/>
        <w:jc w:val="both"/>
        <w:rPr>
          <w:rFonts w:ascii="Times New Roman" w:hAnsi="Times New Roman" w:cs="Times New Roman"/>
          <w:sz w:val="20"/>
          <w:szCs w:val="20"/>
        </w:rPr>
      </w:pPr>
    </w:p>
    <w:p w14:paraId="0FA779ED" w14:textId="2E86F74B" w:rsidR="00BB7B30" w:rsidRPr="009E0336" w:rsidRDefault="00BB7B30" w:rsidP="00BB7B30">
      <w:pPr>
        <w:spacing w:after="0" w:line="240" w:lineRule="auto"/>
        <w:jc w:val="both"/>
        <w:rPr>
          <w:rFonts w:ascii="Times New Roman" w:hAnsi="Times New Roman" w:cs="Times New Roman"/>
          <w:sz w:val="20"/>
          <w:szCs w:val="20"/>
        </w:rPr>
      </w:pPr>
      <w:r w:rsidRPr="009E0336">
        <w:rPr>
          <w:rFonts w:ascii="Times New Roman" w:hAnsi="Times New Roman" w:cs="Times New Roman"/>
          <w:sz w:val="20"/>
          <w:szCs w:val="20"/>
        </w:rPr>
        <w:t>Na temelju članka 23. Statuta Zavoda za hitnu medicinu Splitsko dalmatinske županije, Upravno vijeće Zavoda  na svojoj 2</w:t>
      </w:r>
      <w:r w:rsidR="009E0336" w:rsidRPr="009E0336">
        <w:rPr>
          <w:rFonts w:ascii="Times New Roman" w:hAnsi="Times New Roman" w:cs="Times New Roman"/>
          <w:sz w:val="20"/>
          <w:szCs w:val="20"/>
        </w:rPr>
        <w:t>4</w:t>
      </w:r>
      <w:r w:rsidRPr="009E0336">
        <w:rPr>
          <w:rFonts w:ascii="Times New Roman" w:hAnsi="Times New Roman" w:cs="Times New Roman"/>
          <w:sz w:val="20"/>
          <w:szCs w:val="20"/>
        </w:rPr>
        <w:t>. redovnoj  sjednici održanoj dana 1</w:t>
      </w:r>
      <w:r w:rsidR="009E0336" w:rsidRPr="009E0336">
        <w:rPr>
          <w:rFonts w:ascii="Times New Roman" w:hAnsi="Times New Roman" w:cs="Times New Roman"/>
          <w:sz w:val="20"/>
          <w:szCs w:val="20"/>
        </w:rPr>
        <w:t>9</w:t>
      </w:r>
      <w:r w:rsidRPr="009E0336">
        <w:rPr>
          <w:rFonts w:ascii="Times New Roman" w:hAnsi="Times New Roman" w:cs="Times New Roman"/>
          <w:sz w:val="20"/>
          <w:szCs w:val="20"/>
        </w:rPr>
        <w:t xml:space="preserve">. </w:t>
      </w:r>
      <w:r w:rsidR="009E0336" w:rsidRPr="009E0336">
        <w:rPr>
          <w:rFonts w:ascii="Times New Roman" w:hAnsi="Times New Roman" w:cs="Times New Roman"/>
          <w:sz w:val="20"/>
          <w:szCs w:val="20"/>
        </w:rPr>
        <w:t xml:space="preserve">prosinca </w:t>
      </w:r>
      <w:r w:rsidRPr="009E0336">
        <w:rPr>
          <w:rFonts w:ascii="Times New Roman" w:hAnsi="Times New Roman" w:cs="Times New Roman"/>
          <w:sz w:val="20"/>
          <w:szCs w:val="20"/>
        </w:rPr>
        <w:t xml:space="preserve">2024. godine, donijelo je </w:t>
      </w:r>
    </w:p>
    <w:p w14:paraId="6973DEF5" w14:textId="77777777" w:rsidR="00326B63" w:rsidRPr="009E0336" w:rsidRDefault="00326B63" w:rsidP="00BB7B30">
      <w:pPr>
        <w:pStyle w:val="Standard"/>
        <w:rPr>
          <w:b/>
          <w:bCs/>
          <w:sz w:val="20"/>
          <w:szCs w:val="20"/>
        </w:rPr>
      </w:pPr>
    </w:p>
    <w:p w14:paraId="17996366" w14:textId="77777777" w:rsidR="00BB7B30" w:rsidRPr="009E0336" w:rsidRDefault="00BB7B30" w:rsidP="00326B63">
      <w:pPr>
        <w:pStyle w:val="Standard"/>
        <w:jc w:val="center"/>
        <w:rPr>
          <w:b/>
          <w:bCs/>
          <w:sz w:val="20"/>
          <w:szCs w:val="20"/>
        </w:rPr>
      </w:pPr>
    </w:p>
    <w:p w14:paraId="17006CD7" w14:textId="77777777" w:rsidR="00BB7B30" w:rsidRPr="009E0336" w:rsidRDefault="00BB7B30" w:rsidP="00BB7B30">
      <w:pPr>
        <w:pStyle w:val="Standard"/>
        <w:rPr>
          <w:b/>
          <w:bCs/>
          <w:sz w:val="20"/>
          <w:szCs w:val="20"/>
        </w:rPr>
      </w:pPr>
    </w:p>
    <w:p w14:paraId="5EB9D66D" w14:textId="3C239877" w:rsidR="005747F4" w:rsidRPr="009E0336" w:rsidRDefault="005747F4" w:rsidP="00326B63">
      <w:pPr>
        <w:pStyle w:val="Standard"/>
        <w:jc w:val="center"/>
        <w:rPr>
          <w:b/>
          <w:bCs/>
          <w:sz w:val="20"/>
          <w:szCs w:val="20"/>
        </w:rPr>
      </w:pPr>
      <w:r w:rsidRPr="009E0336">
        <w:rPr>
          <w:b/>
          <w:bCs/>
          <w:sz w:val="20"/>
          <w:szCs w:val="20"/>
        </w:rPr>
        <w:t xml:space="preserve">OBRAZLOŽENJE FINANCIJSKOG PLANA </w:t>
      </w:r>
      <w:r w:rsidR="00403092" w:rsidRPr="009E0336">
        <w:rPr>
          <w:b/>
          <w:bCs/>
          <w:sz w:val="20"/>
          <w:szCs w:val="20"/>
        </w:rPr>
        <w:t xml:space="preserve">ZAVODA ZA HITNU MEDICINU SPLITSKO-DALMATINSKE ŽUPANIJE </w:t>
      </w:r>
      <w:r w:rsidRPr="009E0336">
        <w:rPr>
          <w:b/>
          <w:bCs/>
          <w:sz w:val="20"/>
          <w:szCs w:val="20"/>
        </w:rPr>
        <w:t>ZA</w:t>
      </w:r>
      <w:r w:rsidR="006944F8" w:rsidRPr="009E0336">
        <w:rPr>
          <w:b/>
          <w:bCs/>
          <w:sz w:val="20"/>
          <w:szCs w:val="20"/>
        </w:rPr>
        <w:t xml:space="preserve"> </w:t>
      </w:r>
      <w:r w:rsidRPr="009E0336">
        <w:rPr>
          <w:b/>
          <w:bCs/>
          <w:sz w:val="20"/>
          <w:szCs w:val="20"/>
        </w:rPr>
        <w:t>2025.G.</w:t>
      </w:r>
    </w:p>
    <w:p w14:paraId="1A6408B7" w14:textId="589DCB83" w:rsidR="005747F4" w:rsidRPr="009E0336" w:rsidRDefault="005747F4" w:rsidP="005747F4">
      <w:pPr>
        <w:pStyle w:val="Standard"/>
        <w:jc w:val="center"/>
        <w:rPr>
          <w:b/>
          <w:bCs/>
          <w:sz w:val="20"/>
          <w:szCs w:val="20"/>
        </w:rPr>
      </w:pPr>
      <w:r w:rsidRPr="009E0336">
        <w:rPr>
          <w:b/>
          <w:bCs/>
          <w:sz w:val="20"/>
          <w:szCs w:val="20"/>
        </w:rPr>
        <w:t>I PROJEKCIJA ZA 2026.G. I 2027.G.</w:t>
      </w:r>
    </w:p>
    <w:p w14:paraId="0AAF044A" w14:textId="77777777" w:rsidR="005747F4" w:rsidRPr="009E0336" w:rsidRDefault="005747F4" w:rsidP="005747F4">
      <w:pPr>
        <w:pStyle w:val="Standard"/>
        <w:jc w:val="center"/>
        <w:rPr>
          <w:b/>
          <w:bCs/>
          <w:sz w:val="20"/>
          <w:szCs w:val="20"/>
        </w:rPr>
      </w:pPr>
    </w:p>
    <w:p w14:paraId="77443A02" w14:textId="77777777" w:rsidR="005747F4" w:rsidRPr="009E0336" w:rsidRDefault="005747F4" w:rsidP="005747F4">
      <w:pPr>
        <w:pStyle w:val="Standard"/>
        <w:jc w:val="center"/>
        <w:rPr>
          <w:b/>
          <w:bCs/>
          <w:sz w:val="20"/>
          <w:szCs w:val="20"/>
        </w:rPr>
      </w:pPr>
    </w:p>
    <w:p w14:paraId="0F726899" w14:textId="77777777" w:rsidR="005747F4" w:rsidRPr="009E0336" w:rsidRDefault="005747F4" w:rsidP="005747F4">
      <w:pPr>
        <w:pStyle w:val="Odlomakpopisa"/>
        <w:numPr>
          <w:ilvl w:val="0"/>
          <w:numId w:val="18"/>
        </w:numPr>
        <w:tabs>
          <w:tab w:val="center" w:pos="4706"/>
          <w:tab w:val="left" w:pos="5970"/>
        </w:tabs>
        <w:jc w:val="center"/>
        <w:rPr>
          <w:rFonts w:ascii="Times New Roman" w:hAnsi="Times New Roman" w:cs="Times New Roman"/>
          <w:b/>
          <w:bCs/>
          <w:sz w:val="20"/>
          <w:szCs w:val="20"/>
        </w:rPr>
      </w:pPr>
      <w:r w:rsidRPr="009E0336">
        <w:rPr>
          <w:rFonts w:ascii="Times New Roman" w:hAnsi="Times New Roman" w:cs="Times New Roman"/>
          <w:b/>
          <w:bCs/>
          <w:sz w:val="20"/>
          <w:szCs w:val="20"/>
        </w:rPr>
        <w:t>OPĆI DIO</w:t>
      </w:r>
    </w:p>
    <w:p w14:paraId="33237173" w14:textId="77777777" w:rsidR="005747F4" w:rsidRPr="009E0336" w:rsidRDefault="005747F4" w:rsidP="005747F4">
      <w:pPr>
        <w:pStyle w:val="Standard"/>
        <w:jc w:val="both"/>
        <w:rPr>
          <w:sz w:val="20"/>
          <w:szCs w:val="20"/>
        </w:rPr>
      </w:pPr>
    </w:p>
    <w:p w14:paraId="71C427A2" w14:textId="77777777" w:rsidR="005747F4" w:rsidRPr="009E0336" w:rsidRDefault="005747F4" w:rsidP="005747F4">
      <w:pPr>
        <w:pStyle w:val="Standard"/>
        <w:jc w:val="both"/>
        <w:rPr>
          <w:rFonts w:eastAsia="Symbol"/>
          <w:kern w:val="0"/>
          <w:sz w:val="20"/>
          <w:szCs w:val="20"/>
          <w:lang w:val="pl-PL"/>
        </w:rPr>
      </w:pPr>
      <w:r w:rsidRPr="009E0336">
        <w:rPr>
          <w:rFonts w:eastAsia="Symbol"/>
          <w:kern w:val="0"/>
          <w:sz w:val="20"/>
          <w:szCs w:val="20"/>
          <w:lang w:val="pl-PL"/>
        </w:rPr>
        <w:t>Zavod za hitnu medicinu Splitsko-dalmatinske županije (Zavod) je zdravstvena ustanova koja obavlja djelatnost hitne medicine i sanitetskog prijevoza. Djelatnost hitne medicine Zavod obavlja provođenjem mjera hitnog zbrinjavanja na mjestu ozljeđivanja odnosno obolijevanja, hitnog prijevoza oboljelih i ozlijeđenih osoba u odgovarajuću zdravstvenu ustanovu te zdravstveno zbrinjavanje za vrijeme prijevoza. Djelatnost sanitetskog prijevoza podrazumijeva prijevoz u ili iz zdravstvene ustanove u svrhu pružanja zdravstvenih usluga vozilom posebno opremljenim medicinskom i ostalom opremom za siguran prijevoz pacijenata.</w:t>
      </w:r>
    </w:p>
    <w:p w14:paraId="0D317069" w14:textId="56C0B3D7" w:rsidR="005747F4" w:rsidRPr="009E0336" w:rsidRDefault="005747F4" w:rsidP="005747F4">
      <w:pPr>
        <w:snapToGrid w:val="0"/>
        <w:spacing w:line="240" w:lineRule="auto"/>
        <w:jc w:val="both"/>
        <w:rPr>
          <w:rFonts w:ascii="Times New Roman" w:eastAsia="Symbol" w:hAnsi="Times New Roman" w:cs="Times New Roman"/>
          <w:kern w:val="0"/>
          <w:sz w:val="20"/>
          <w:szCs w:val="20"/>
          <w:lang w:val="pl-PL" w:eastAsia="hr-HR"/>
        </w:rPr>
      </w:pPr>
      <w:r w:rsidRPr="009E0336">
        <w:rPr>
          <w:rFonts w:ascii="Times New Roman" w:eastAsia="Symbol" w:hAnsi="Times New Roman" w:cs="Times New Roman"/>
          <w:kern w:val="0"/>
          <w:sz w:val="20"/>
          <w:szCs w:val="20"/>
          <w:lang w:val="pl-PL" w:eastAsia="hr-HR"/>
        </w:rPr>
        <w:t xml:space="preserve">Zavod djelatnost hitne medicine i sanitetskog prijevoza obavlja na 21 punktu na području Splitsko-dalmatinske županije i to u 16 ispostava (Split, Gornji Humac na Braču, Hvar, Imotski, Jelsa na Hvaru, Kaštel Stari, Makarska, Drvenik/Podaca, Omiš, Sinj, Solin, Supetar, Šestanovac, Trilj, Trogir i Vrgorac), </w:t>
      </w:r>
      <w:r w:rsidR="00E8012D" w:rsidRPr="009E0336">
        <w:rPr>
          <w:rFonts w:ascii="Times New Roman" w:eastAsia="Symbol" w:hAnsi="Times New Roman" w:cs="Times New Roman"/>
          <w:kern w:val="0"/>
          <w:sz w:val="20"/>
          <w:szCs w:val="20"/>
          <w:lang w:val="pl-PL" w:eastAsia="hr-HR"/>
        </w:rPr>
        <w:t>5</w:t>
      </w:r>
      <w:r w:rsidRPr="009E0336">
        <w:rPr>
          <w:rFonts w:ascii="Times New Roman" w:eastAsia="Symbol" w:hAnsi="Times New Roman" w:cs="Times New Roman"/>
          <w:kern w:val="0"/>
          <w:sz w:val="20"/>
          <w:szCs w:val="20"/>
          <w:lang w:val="pl-PL" w:eastAsia="hr-HR"/>
        </w:rPr>
        <w:t xml:space="preserve"> punk</w:t>
      </w:r>
      <w:r w:rsidR="00E8012D" w:rsidRPr="009E0336">
        <w:rPr>
          <w:rFonts w:ascii="Times New Roman" w:eastAsia="Symbol" w:hAnsi="Times New Roman" w:cs="Times New Roman"/>
          <w:kern w:val="0"/>
          <w:sz w:val="20"/>
          <w:szCs w:val="20"/>
          <w:lang w:val="pl-PL" w:eastAsia="hr-HR"/>
        </w:rPr>
        <w:t>tova</w:t>
      </w:r>
      <w:r w:rsidRPr="009E0336">
        <w:rPr>
          <w:rFonts w:ascii="Times New Roman" w:eastAsia="Symbol" w:hAnsi="Times New Roman" w:cs="Times New Roman"/>
          <w:kern w:val="0"/>
          <w:sz w:val="20"/>
          <w:szCs w:val="20"/>
          <w:lang w:val="pl-PL" w:eastAsia="hr-HR"/>
        </w:rPr>
        <w:t xml:space="preserve"> pripravnosti (Muć, Šolta, Vis, Vrlika</w:t>
      </w:r>
      <w:r w:rsidR="00E8012D" w:rsidRPr="009E0336">
        <w:rPr>
          <w:rFonts w:ascii="Times New Roman" w:eastAsia="Symbol" w:hAnsi="Times New Roman" w:cs="Times New Roman"/>
          <w:kern w:val="0"/>
          <w:sz w:val="20"/>
          <w:szCs w:val="20"/>
          <w:lang w:val="pl-PL" w:eastAsia="hr-HR"/>
        </w:rPr>
        <w:t xml:space="preserve"> i Supetar</w:t>
      </w:r>
      <w:r w:rsidRPr="009E0336">
        <w:rPr>
          <w:rFonts w:ascii="Times New Roman" w:eastAsia="Symbol" w:hAnsi="Times New Roman" w:cs="Times New Roman"/>
          <w:kern w:val="0"/>
          <w:sz w:val="20"/>
          <w:szCs w:val="20"/>
          <w:lang w:val="pl-PL" w:eastAsia="hr-HR"/>
        </w:rPr>
        <w:t>) i 1 punkt hitnog zračnog medicinskog prijevoza (Brač). U Zavodu je zaposleno 5</w:t>
      </w:r>
      <w:r w:rsidR="00E8012D" w:rsidRPr="009E0336">
        <w:rPr>
          <w:rFonts w:ascii="Times New Roman" w:eastAsia="Symbol" w:hAnsi="Times New Roman" w:cs="Times New Roman"/>
          <w:kern w:val="0"/>
          <w:sz w:val="20"/>
          <w:szCs w:val="20"/>
          <w:lang w:val="pl-PL" w:eastAsia="hr-HR"/>
        </w:rPr>
        <w:t>99</w:t>
      </w:r>
      <w:r w:rsidRPr="009E0336">
        <w:rPr>
          <w:rFonts w:ascii="Times New Roman" w:eastAsia="Symbol" w:hAnsi="Times New Roman" w:cs="Times New Roman"/>
          <w:kern w:val="0"/>
          <w:sz w:val="20"/>
          <w:szCs w:val="20"/>
          <w:lang w:val="pl-PL" w:eastAsia="hr-HR"/>
        </w:rPr>
        <w:t xml:space="preserve"> zaposlenika od čega je </w:t>
      </w:r>
      <w:r w:rsidR="00E8012D" w:rsidRPr="009E0336">
        <w:rPr>
          <w:rFonts w:ascii="Times New Roman" w:eastAsia="Symbol" w:hAnsi="Times New Roman" w:cs="Times New Roman"/>
          <w:kern w:val="0"/>
          <w:sz w:val="20"/>
          <w:szCs w:val="20"/>
          <w:lang w:val="pl-PL" w:eastAsia="hr-HR"/>
        </w:rPr>
        <w:t>560</w:t>
      </w:r>
      <w:r w:rsidRPr="009E0336">
        <w:rPr>
          <w:rFonts w:ascii="Times New Roman" w:eastAsia="Symbol" w:hAnsi="Times New Roman" w:cs="Times New Roman"/>
          <w:kern w:val="0"/>
          <w:sz w:val="20"/>
          <w:szCs w:val="20"/>
          <w:lang w:val="pl-PL" w:eastAsia="hr-HR"/>
        </w:rPr>
        <w:t xml:space="preserve"> medicinsko osoblje.</w:t>
      </w:r>
    </w:p>
    <w:p w14:paraId="3CB217AE" w14:textId="4AA39439" w:rsidR="005747F4" w:rsidRPr="009E0336" w:rsidRDefault="005747F4" w:rsidP="005747F4">
      <w:pPr>
        <w:pStyle w:val="Standard"/>
        <w:jc w:val="both"/>
        <w:rPr>
          <w:rFonts w:eastAsia="Symbol"/>
          <w:kern w:val="0"/>
          <w:sz w:val="20"/>
          <w:szCs w:val="20"/>
          <w:lang w:val="pl-PL"/>
        </w:rPr>
      </w:pPr>
      <w:r w:rsidRPr="009E0336">
        <w:rPr>
          <w:rFonts w:eastAsia="Symbol"/>
          <w:kern w:val="0"/>
          <w:sz w:val="20"/>
          <w:szCs w:val="20"/>
          <w:lang w:val="pl-PL"/>
        </w:rPr>
        <w:t xml:space="preserve">Sukladno odredbama Zakona o proračunu (NN 144/21), Pravilnika o proračunskom računovodstvu i računskom planu  (NN </w:t>
      </w:r>
      <w:r w:rsidR="00FE471D" w:rsidRPr="009E0336">
        <w:rPr>
          <w:rFonts w:eastAsia="Symbol"/>
          <w:kern w:val="0"/>
          <w:sz w:val="20"/>
          <w:szCs w:val="20"/>
          <w:lang w:val="pl-PL"/>
        </w:rPr>
        <w:t>158/23</w:t>
      </w:r>
      <w:r w:rsidRPr="009E0336">
        <w:rPr>
          <w:rFonts w:eastAsia="Symbol"/>
          <w:kern w:val="0"/>
          <w:sz w:val="20"/>
          <w:szCs w:val="20"/>
          <w:lang w:val="pl-PL"/>
        </w:rPr>
        <w:t>) te Uputa za izradu Proračuna Splitsko-dalmatinske županije za razdoblje 202</w:t>
      </w:r>
      <w:r w:rsidR="00E8012D" w:rsidRPr="009E0336">
        <w:rPr>
          <w:rFonts w:eastAsia="Symbol"/>
          <w:kern w:val="0"/>
          <w:sz w:val="20"/>
          <w:szCs w:val="20"/>
          <w:lang w:val="pl-PL"/>
        </w:rPr>
        <w:t>5</w:t>
      </w:r>
      <w:r w:rsidRPr="009E0336">
        <w:rPr>
          <w:rFonts w:eastAsia="Symbol"/>
          <w:kern w:val="0"/>
          <w:sz w:val="20"/>
          <w:szCs w:val="20"/>
          <w:lang w:val="pl-PL"/>
        </w:rPr>
        <w:t>.g.-202</w:t>
      </w:r>
      <w:r w:rsidR="00E8012D" w:rsidRPr="009E0336">
        <w:rPr>
          <w:rFonts w:eastAsia="Symbol"/>
          <w:kern w:val="0"/>
          <w:sz w:val="20"/>
          <w:szCs w:val="20"/>
          <w:lang w:val="pl-PL"/>
        </w:rPr>
        <w:t>7</w:t>
      </w:r>
      <w:r w:rsidRPr="009E0336">
        <w:rPr>
          <w:rFonts w:eastAsia="Symbol"/>
          <w:kern w:val="0"/>
          <w:sz w:val="20"/>
          <w:szCs w:val="20"/>
          <w:lang w:val="pl-PL"/>
        </w:rPr>
        <w:t>.g. i vlastitih procjena temeljenih na izvršenju prihoda i rashoda u 202</w:t>
      </w:r>
      <w:r w:rsidR="00E8012D" w:rsidRPr="009E0336">
        <w:rPr>
          <w:rFonts w:eastAsia="Symbol"/>
          <w:kern w:val="0"/>
          <w:sz w:val="20"/>
          <w:szCs w:val="20"/>
          <w:lang w:val="pl-PL"/>
        </w:rPr>
        <w:t>4</w:t>
      </w:r>
      <w:r w:rsidRPr="009E0336">
        <w:rPr>
          <w:rFonts w:eastAsia="Symbol"/>
          <w:kern w:val="0"/>
          <w:sz w:val="20"/>
          <w:szCs w:val="20"/>
          <w:lang w:val="pl-PL"/>
        </w:rPr>
        <w:t>.g. izrađen je prijedlog financijskog plana za 202</w:t>
      </w:r>
      <w:r w:rsidR="00E8012D" w:rsidRPr="009E0336">
        <w:rPr>
          <w:rFonts w:eastAsia="Symbol"/>
          <w:kern w:val="0"/>
          <w:sz w:val="20"/>
          <w:szCs w:val="20"/>
          <w:lang w:val="pl-PL"/>
        </w:rPr>
        <w:t>5</w:t>
      </w:r>
      <w:r w:rsidRPr="009E0336">
        <w:rPr>
          <w:rFonts w:eastAsia="Symbol"/>
          <w:kern w:val="0"/>
          <w:sz w:val="20"/>
          <w:szCs w:val="20"/>
          <w:lang w:val="pl-PL"/>
        </w:rPr>
        <w:t>.g. i projekcije za 202</w:t>
      </w:r>
      <w:r w:rsidR="00E8012D" w:rsidRPr="009E0336">
        <w:rPr>
          <w:rFonts w:eastAsia="Symbol"/>
          <w:kern w:val="0"/>
          <w:sz w:val="20"/>
          <w:szCs w:val="20"/>
          <w:lang w:val="pl-PL"/>
        </w:rPr>
        <w:t>6</w:t>
      </w:r>
      <w:r w:rsidRPr="009E0336">
        <w:rPr>
          <w:rFonts w:eastAsia="Symbol"/>
          <w:kern w:val="0"/>
          <w:sz w:val="20"/>
          <w:szCs w:val="20"/>
          <w:lang w:val="pl-PL"/>
        </w:rPr>
        <w:t>.g. i 202</w:t>
      </w:r>
      <w:r w:rsidR="00E8012D" w:rsidRPr="009E0336">
        <w:rPr>
          <w:rFonts w:eastAsia="Symbol"/>
          <w:kern w:val="0"/>
          <w:sz w:val="20"/>
          <w:szCs w:val="20"/>
          <w:lang w:val="pl-PL"/>
        </w:rPr>
        <w:t>7</w:t>
      </w:r>
      <w:r w:rsidRPr="009E0336">
        <w:rPr>
          <w:rFonts w:eastAsia="Symbol"/>
          <w:kern w:val="0"/>
          <w:sz w:val="20"/>
          <w:szCs w:val="20"/>
          <w:lang w:val="pl-PL"/>
        </w:rPr>
        <w:t>.g.</w:t>
      </w:r>
    </w:p>
    <w:p w14:paraId="17433625" w14:textId="77777777" w:rsidR="005747F4" w:rsidRPr="009E0336" w:rsidRDefault="005747F4" w:rsidP="005747F4">
      <w:pPr>
        <w:rPr>
          <w:rFonts w:ascii="Times New Roman" w:eastAsia="Symbol" w:hAnsi="Times New Roman" w:cs="Times New Roman"/>
          <w:kern w:val="0"/>
          <w:sz w:val="20"/>
          <w:szCs w:val="20"/>
          <w:lang w:val="pl-PL" w:eastAsia="hr-HR"/>
        </w:rPr>
      </w:pPr>
    </w:p>
    <w:p w14:paraId="0880EB4F" w14:textId="77777777" w:rsidR="005747F4" w:rsidRPr="009E0336" w:rsidRDefault="005747F4" w:rsidP="005747F4">
      <w:pPr>
        <w:rPr>
          <w:rFonts w:ascii="Times New Roman" w:hAnsi="Times New Roman" w:cs="Times New Roman"/>
          <w:b/>
          <w:bCs/>
          <w:sz w:val="20"/>
          <w:szCs w:val="20"/>
        </w:rPr>
      </w:pPr>
      <w:r w:rsidRPr="009E0336">
        <w:rPr>
          <w:rFonts w:ascii="Times New Roman" w:hAnsi="Times New Roman" w:cs="Times New Roman"/>
          <w:b/>
          <w:bCs/>
          <w:sz w:val="20"/>
          <w:szCs w:val="20"/>
        </w:rPr>
        <w:t>PRIHODI</w:t>
      </w:r>
    </w:p>
    <w:p w14:paraId="54CFDC36" w14:textId="143B6932" w:rsidR="005747F4" w:rsidRPr="009E0336" w:rsidRDefault="005747F4" w:rsidP="005747F4">
      <w:pPr>
        <w:pStyle w:val="Standard"/>
        <w:jc w:val="both"/>
        <w:rPr>
          <w:rFonts w:eastAsia="Symbol"/>
          <w:kern w:val="0"/>
          <w:sz w:val="20"/>
          <w:szCs w:val="20"/>
          <w:lang w:val="pl-PL"/>
        </w:rPr>
      </w:pPr>
      <w:r w:rsidRPr="009E0336">
        <w:rPr>
          <w:rFonts w:eastAsia="Symbol"/>
          <w:kern w:val="0"/>
          <w:sz w:val="20"/>
          <w:szCs w:val="20"/>
          <w:lang w:val="pl-PL"/>
        </w:rPr>
        <w:t>Financijski plan Zavoda za hitnu medicinu Splitsko-dalmatinske županije (Zavod) se u 202</w:t>
      </w:r>
      <w:r w:rsidR="00F05CCE" w:rsidRPr="009E0336">
        <w:rPr>
          <w:rFonts w:eastAsia="Symbol"/>
          <w:kern w:val="0"/>
          <w:sz w:val="20"/>
          <w:szCs w:val="20"/>
          <w:lang w:val="pl-PL"/>
        </w:rPr>
        <w:t>5</w:t>
      </w:r>
      <w:r w:rsidRPr="009E0336">
        <w:rPr>
          <w:rFonts w:eastAsia="Symbol"/>
          <w:kern w:val="0"/>
          <w:sz w:val="20"/>
          <w:szCs w:val="20"/>
          <w:lang w:val="pl-PL"/>
        </w:rPr>
        <w:t xml:space="preserve">.g. planira u iznosu od </w:t>
      </w:r>
      <w:r w:rsidR="00F05CCE" w:rsidRPr="009E0336">
        <w:rPr>
          <w:rFonts w:eastAsia="Symbol"/>
          <w:kern w:val="0"/>
          <w:sz w:val="20"/>
          <w:szCs w:val="20"/>
          <w:lang w:val="pl-PL"/>
        </w:rPr>
        <w:t>33.076.000,00 €</w:t>
      </w:r>
      <w:r w:rsidRPr="009E0336">
        <w:rPr>
          <w:rFonts w:eastAsia="Symbol"/>
          <w:kern w:val="0"/>
          <w:sz w:val="20"/>
          <w:szCs w:val="20"/>
          <w:lang w:val="pl-PL"/>
        </w:rPr>
        <w:t xml:space="preserve"> što je </w:t>
      </w:r>
      <w:r w:rsidR="00F05CCE" w:rsidRPr="009E0336">
        <w:rPr>
          <w:rFonts w:eastAsia="Symbol"/>
          <w:kern w:val="0"/>
          <w:sz w:val="20"/>
          <w:szCs w:val="20"/>
          <w:lang w:val="pl-PL"/>
        </w:rPr>
        <w:t>165.599,96</w:t>
      </w:r>
      <w:r w:rsidRPr="009E0336">
        <w:rPr>
          <w:rFonts w:eastAsia="Symbol"/>
          <w:kern w:val="0"/>
          <w:sz w:val="20"/>
          <w:szCs w:val="20"/>
          <w:lang w:val="pl-PL"/>
        </w:rPr>
        <w:t xml:space="preserve"> </w:t>
      </w:r>
      <w:r w:rsidR="00F05CCE" w:rsidRPr="009E0336">
        <w:rPr>
          <w:rFonts w:eastAsia="Symbol"/>
          <w:kern w:val="0"/>
          <w:sz w:val="20"/>
          <w:szCs w:val="20"/>
          <w:lang w:val="pl-PL"/>
        </w:rPr>
        <w:t xml:space="preserve">€ </w:t>
      </w:r>
      <w:r w:rsidRPr="009E0336">
        <w:rPr>
          <w:rFonts w:eastAsia="Symbol"/>
          <w:kern w:val="0"/>
          <w:sz w:val="20"/>
          <w:szCs w:val="20"/>
          <w:lang w:val="pl-PL"/>
        </w:rPr>
        <w:t xml:space="preserve">ili </w:t>
      </w:r>
      <w:r w:rsidR="00F05CCE" w:rsidRPr="009E0336">
        <w:rPr>
          <w:rFonts w:eastAsia="Symbol"/>
          <w:kern w:val="0"/>
          <w:sz w:val="20"/>
          <w:szCs w:val="20"/>
          <w:lang w:val="pl-PL"/>
        </w:rPr>
        <w:t>0,5</w:t>
      </w:r>
      <w:r w:rsidRPr="009E0336">
        <w:rPr>
          <w:rFonts w:eastAsia="Symbol"/>
          <w:kern w:val="0"/>
          <w:sz w:val="20"/>
          <w:szCs w:val="20"/>
          <w:lang w:val="pl-PL"/>
        </w:rPr>
        <w:t xml:space="preserve">% </w:t>
      </w:r>
      <w:r w:rsidR="00F05CCE" w:rsidRPr="009E0336">
        <w:rPr>
          <w:rFonts w:eastAsia="Symbol"/>
          <w:kern w:val="0"/>
          <w:sz w:val="20"/>
          <w:szCs w:val="20"/>
          <w:lang w:val="pl-PL"/>
        </w:rPr>
        <w:t>manje</w:t>
      </w:r>
      <w:r w:rsidRPr="009E0336">
        <w:rPr>
          <w:rFonts w:eastAsia="Symbol"/>
          <w:kern w:val="0"/>
          <w:sz w:val="20"/>
          <w:szCs w:val="20"/>
          <w:lang w:val="pl-PL"/>
        </w:rPr>
        <w:t xml:space="preserve"> u odnosu na plan u 202</w:t>
      </w:r>
      <w:r w:rsidR="00F05CCE" w:rsidRPr="009E0336">
        <w:rPr>
          <w:rFonts w:eastAsia="Symbol"/>
          <w:kern w:val="0"/>
          <w:sz w:val="20"/>
          <w:szCs w:val="20"/>
          <w:lang w:val="pl-PL"/>
        </w:rPr>
        <w:t>4</w:t>
      </w:r>
      <w:r w:rsidRPr="009E0336">
        <w:rPr>
          <w:rFonts w:eastAsia="Symbol"/>
          <w:kern w:val="0"/>
          <w:sz w:val="20"/>
          <w:szCs w:val="20"/>
          <w:lang w:val="pl-PL"/>
        </w:rPr>
        <w:t xml:space="preserve">.g., odnosno </w:t>
      </w:r>
      <w:r w:rsidR="007D6C16" w:rsidRPr="009E0336">
        <w:rPr>
          <w:rFonts w:eastAsia="Symbol"/>
          <w:kern w:val="0"/>
          <w:sz w:val="20"/>
          <w:szCs w:val="20"/>
          <w:lang w:val="pl-PL"/>
        </w:rPr>
        <w:t>10.920.506,15 €</w:t>
      </w:r>
      <w:r w:rsidRPr="009E0336">
        <w:rPr>
          <w:rFonts w:eastAsia="Symbol"/>
          <w:kern w:val="0"/>
          <w:sz w:val="20"/>
          <w:szCs w:val="20"/>
          <w:lang w:val="pl-PL"/>
        </w:rPr>
        <w:t xml:space="preserve"> ili </w:t>
      </w:r>
      <w:r w:rsidR="007D6C16" w:rsidRPr="009E0336">
        <w:rPr>
          <w:rFonts w:eastAsia="Symbol"/>
          <w:kern w:val="0"/>
          <w:sz w:val="20"/>
          <w:szCs w:val="20"/>
          <w:lang w:val="pl-PL"/>
        </w:rPr>
        <w:t xml:space="preserve">49,3 </w:t>
      </w:r>
      <w:r w:rsidRPr="009E0336">
        <w:rPr>
          <w:rFonts w:eastAsia="Symbol"/>
          <w:kern w:val="0"/>
          <w:sz w:val="20"/>
          <w:szCs w:val="20"/>
          <w:lang w:val="pl-PL"/>
        </w:rPr>
        <w:t>% više u odnosu na ostvarenje u 202</w:t>
      </w:r>
      <w:r w:rsidR="007D6C16" w:rsidRPr="009E0336">
        <w:rPr>
          <w:rFonts w:eastAsia="Symbol"/>
          <w:kern w:val="0"/>
          <w:sz w:val="20"/>
          <w:szCs w:val="20"/>
          <w:lang w:val="pl-PL"/>
        </w:rPr>
        <w:t>3</w:t>
      </w:r>
      <w:r w:rsidRPr="009E0336">
        <w:rPr>
          <w:rFonts w:eastAsia="Symbol"/>
          <w:kern w:val="0"/>
          <w:sz w:val="20"/>
          <w:szCs w:val="20"/>
          <w:lang w:val="pl-PL"/>
        </w:rPr>
        <w:t>.g. Projekcija Financijskog plana Zavoda u 202</w:t>
      </w:r>
      <w:r w:rsidR="007D6C16" w:rsidRPr="009E0336">
        <w:rPr>
          <w:rFonts w:eastAsia="Symbol"/>
          <w:kern w:val="0"/>
          <w:sz w:val="20"/>
          <w:szCs w:val="20"/>
          <w:lang w:val="pl-PL"/>
        </w:rPr>
        <w:t>6.</w:t>
      </w:r>
      <w:r w:rsidRPr="009E0336">
        <w:rPr>
          <w:rFonts w:eastAsia="Symbol"/>
          <w:kern w:val="0"/>
          <w:sz w:val="20"/>
          <w:szCs w:val="20"/>
          <w:lang w:val="pl-PL"/>
        </w:rPr>
        <w:t xml:space="preserve">g. iznosi </w:t>
      </w:r>
      <w:r w:rsidR="007D6C16" w:rsidRPr="009E0336">
        <w:rPr>
          <w:rFonts w:eastAsia="Symbol"/>
          <w:kern w:val="0"/>
          <w:sz w:val="20"/>
          <w:szCs w:val="20"/>
          <w:lang w:val="pl-PL"/>
        </w:rPr>
        <w:t>33.251.000,00 €</w:t>
      </w:r>
      <w:r w:rsidRPr="009E0336">
        <w:rPr>
          <w:rFonts w:eastAsia="Symbol"/>
          <w:kern w:val="0"/>
          <w:sz w:val="20"/>
          <w:szCs w:val="20"/>
          <w:lang w:val="pl-PL"/>
        </w:rPr>
        <w:t xml:space="preserve"> što je </w:t>
      </w:r>
      <w:r w:rsidR="007D6C16" w:rsidRPr="009E0336">
        <w:rPr>
          <w:rFonts w:eastAsia="Symbol"/>
          <w:kern w:val="0"/>
          <w:sz w:val="20"/>
          <w:szCs w:val="20"/>
          <w:lang w:val="pl-PL"/>
        </w:rPr>
        <w:t>175.000,00 €</w:t>
      </w:r>
      <w:r w:rsidRPr="009E0336">
        <w:rPr>
          <w:rFonts w:eastAsia="Symbol"/>
          <w:kern w:val="0"/>
          <w:sz w:val="20"/>
          <w:szCs w:val="20"/>
          <w:lang w:val="pl-PL"/>
        </w:rPr>
        <w:t xml:space="preserve"> </w:t>
      </w:r>
      <w:r w:rsidR="007D6C16" w:rsidRPr="009E0336">
        <w:rPr>
          <w:rFonts w:eastAsia="Symbol"/>
          <w:kern w:val="0"/>
          <w:sz w:val="20"/>
          <w:szCs w:val="20"/>
          <w:lang w:val="pl-PL"/>
        </w:rPr>
        <w:t>odnosno 0,5 % više o</w:t>
      </w:r>
      <w:r w:rsidRPr="009E0336">
        <w:rPr>
          <w:rFonts w:eastAsia="Symbol"/>
          <w:kern w:val="0"/>
          <w:sz w:val="20"/>
          <w:szCs w:val="20"/>
          <w:lang w:val="pl-PL"/>
        </w:rPr>
        <w:t>d planiranog u 202</w:t>
      </w:r>
      <w:r w:rsidR="007D6C16" w:rsidRPr="009E0336">
        <w:rPr>
          <w:rFonts w:eastAsia="Symbol"/>
          <w:kern w:val="0"/>
          <w:sz w:val="20"/>
          <w:szCs w:val="20"/>
          <w:lang w:val="pl-PL"/>
        </w:rPr>
        <w:t>5</w:t>
      </w:r>
      <w:r w:rsidRPr="009E0336">
        <w:rPr>
          <w:rFonts w:eastAsia="Symbol"/>
          <w:kern w:val="0"/>
          <w:sz w:val="20"/>
          <w:szCs w:val="20"/>
          <w:lang w:val="pl-PL"/>
        </w:rPr>
        <w:t>.g. dok projekcija za 202</w:t>
      </w:r>
      <w:r w:rsidR="007D6C16" w:rsidRPr="009E0336">
        <w:rPr>
          <w:rFonts w:eastAsia="Symbol"/>
          <w:kern w:val="0"/>
          <w:sz w:val="20"/>
          <w:szCs w:val="20"/>
          <w:lang w:val="pl-PL"/>
        </w:rPr>
        <w:t>7</w:t>
      </w:r>
      <w:r w:rsidRPr="009E0336">
        <w:rPr>
          <w:rFonts w:eastAsia="Symbol"/>
          <w:kern w:val="0"/>
          <w:sz w:val="20"/>
          <w:szCs w:val="20"/>
          <w:lang w:val="pl-PL"/>
        </w:rPr>
        <w:t xml:space="preserve">.g. iznosi </w:t>
      </w:r>
      <w:r w:rsidR="007D6C16" w:rsidRPr="009E0336">
        <w:rPr>
          <w:rFonts w:eastAsia="Symbol"/>
          <w:kern w:val="0"/>
          <w:sz w:val="20"/>
          <w:szCs w:val="20"/>
          <w:lang w:val="pl-PL"/>
        </w:rPr>
        <w:t>33.870.000,00 €</w:t>
      </w:r>
      <w:r w:rsidRPr="009E0336">
        <w:rPr>
          <w:rFonts w:eastAsia="Symbol"/>
          <w:kern w:val="0"/>
          <w:sz w:val="20"/>
          <w:szCs w:val="20"/>
          <w:lang w:val="pl-PL"/>
        </w:rPr>
        <w:t xml:space="preserve"> što je </w:t>
      </w:r>
      <w:r w:rsidR="0009043B" w:rsidRPr="009E0336">
        <w:rPr>
          <w:rFonts w:eastAsia="Symbol"/>
          <w:kern w:val="0"/>
          <w:sz w:val="20"/>
          <w:szCs w:val="20"/>
          <w:lang w:val="pl-PL"/>
        </w:rPr>
        <w:t>619.000,00 €</w:t>
      </w:r>
      <w:r w:rsidRPr="009E0336">
        <w:rPr>
          <w:rFonts w:eastAsia="Symbol"/>
          <w:kern w:val="0"/>
          <w:sz w:val="20"/>
          <w:szCs w:val="20"/>
          <w:lang w:val="pl-PL"/>
        </w:rPr>
        <w:t xml:space="preserve"> ili </w:t>
      </w:r>
      <w:r w:rsidR="0009043B" w:rsidRPr="009E0336">
        <w:rPr>
          <w:rFonts w:eastAsia="Symbol"/>
          <w:kern w:val="0"/>
          <w:sz w:val="20"/>
          <w:szCs w:val="20"/>
          <w:lang w:val="pl-PL"/>
        </w:rPr>
        <w:t xml:space="preserve">1,9 </w:t>
      </w:r>
      <w:r w:rsidRPr="009E0336">
        <w:rPr>
          <w:rFonts w:eastAsia="Symbol"/>
          <w:kern w:val="0"/>
          <w:sz w:val="20"/>
          <w:szCs w:val="20"/>
          <w:lang w:val="pl-PL"/>
        </w:rPr>
        <w:t xml:space="preserve">% </w:t>
      </w:r>
      <w:r w:rsidR="0009043B" w:rsidRPr="009E0336">
        <w:rPr>
          <w:rFonts w:eastAsia="Symbol"/>
          <w:kern w:val="0"/>
          <w:sz w:val="20"/>
          <w:szCs w:val="20"/>
          <w:lang w:val="pl-PL"/>
        </w:rPr>
        <w:t>više</w:t>
      </w:r>
      <w:r w:rsidRPr="009E0336">
        <w:rPr>
          <w:rFonts w:eastAsia="Symbol"/>
          <w:kern w:val="0"/>
          <w:sz w:val="20"/>
          <w:szCs w:val="20"/>
          <w:lang w:val="pl-PL"/>
        </w:rPr>
        <w:t xml:space="preserve"> od 202</w:t>
      </w:r>
      <w:r w:rsidR="0009043B" w:rsidRPr="009E0336">
        <w:rPr>
          <w:rFonts w:eastAsia="Symbol"/>
          <w:kern w:val="0"/>
          <w:sz w:val="20"/>
          <w:szCs w:val="20"/>
          <w:lang w:val="pl-PL"/>
        </w:rPr>
        <w:t>6</w:t>
      </w:r>
      <w:r w:rsidRPr="009E0336">
        <w:rPr>
          <w:rFonts w:eastAsia="Symbol"/>
          <w:kern w:val="0"/>
          <w:sz w:val="20"/>
          <w:szCs w:val="20"/>
          <w:lang w:val="pl-PL"/>
        </w:rPr>
        <w:t xml:space="preserve">.g. </w:t>
      </w:r>
    </w:p>
    <w:p w14:paraId="453FEB65" w14:textId="77777777" w:rsidR="005747F4" w:rsidRPr="009E0336" w:rsidRDefault="005747F4" w:rsidP="005747F4">
      <w:pPr>
        <w:pStyle w:val="Standard"/>
        <w:jc w:val="both"/>
        <w:rPr>
          <w:rFonts w:eastAsia="Symbol"/>
          <w:kern w:val="0"/>
          <w:sz w:val="20"/>
          <w:szCs w:val="20"/>
          <w:lang w:val="pl-PL"/>
        </w:rPr>
      </w:pPr>
    </w:p>
    <w:p w14:paraId="13225E6E" w14:textId="0BCD72E6" w:rsidR="0010241D" w:rsidRPr="009E0336" w:rsidRDefault="005747F4" w:rsidP="00864FCC">
      <w:pPr>
        <w:pStyle w:val="Standard"/>
        <w:jc w:val="both"/>
        <w:rPr>
          <w:rFonts w:eastAsia="Symbol"/>
          <w:kern w:val="0"/>
          <w:sz w:val="20"/>
          <w:szCs w:val="20"/>
          <w:lang w:val="pl-PL"/>
        </w:rPr>
      </w:pPr>
      <w:r w:rsidRPr="009E0336">
        <w:rPr>
          <w:rFonts w:eastAsia="Symbol"/>
          <w:kern w:val="0"/>
          <w:sz w:val="20"/>
          <w:szCs w:val="20"/>
          <w:lang w:val="pl-PL"/>
        </w:rPr>
        <w:t>Razlike u odnosu na usvojene prošlogodišnje projekcije za 202</w:t>
      </w:r>
      <w:r w:rsidR="0009043B" w:rsidRPr="009E0336">
        <w:rPr>
          <w:rFonts w:eastAsia="Symbol"/>
          <w:kern w:val="0"/>
          <w:sz w:val="20"/>
          <w:szCs w:val="20"/>
          <w:lang w:val="pl-PL"/>
        </w:rPr>
        <w:t>5</w:t>
      </w:r>
      <w:r w:rsidRPr="009E0336">
        <w:rPr>
          <w:rFonts w:eastAsia="Symbol"/>
          <w:kern w:val="0"/>
          <w:sz w:val="20"/>
          <w:szCs w:val="20"/>
          <w:lang w:val="pl-PL"/>
        </w:rPr>
        <w:t>.g. i 202</w:t>
      </w:r>
      <w:r w:rsidR="0009043B" w:rsidRPr="009E0336">
        <w:rPr>
          <w:rFonts w:eastAsia="Symbol"/>
          <w:kern w:val="0"/>
          <w:sz w:val="20"/>
          <w:szCs w:val="20"/>
          <w:lang w:val="pl-PL"/>
        </w:rPr>
        <w:t>6</w:t>
      </w:r>
      <w:r w:rsidRPr="009E0336">
        <w:rPr>
          <w:rFonts w:eastAsia="Symbol"/>
          <w:kern w:val="0"/>
          <w:sz w:val="20"/>
          <w:szCs w:val="20"/>
          <w:lang w:val="pl-PL"/>
        </w:rPr>
        <w:t>.g., odnose se najvećim dijelom na povećanje plana prihoda za posebne namjene (prihod od HZZO-a) uslijed povećanja vrijednosti ugovorenih timova zbog povećanja osnovice i koeficijenata za obračun plaće</w:t>
      </w:r>
      <w:r w:rsidR="0009043B" w:rsidRPr="009E0336">
        <w:rPr>
          <w:rFonts w:eastAsia="Symbol"/>
          <w:kern w:val="0"/>
          <w:sz w:val="20"/>
          <w:szCs w:val="20"/>
          <w:lang w:val="pl-PL"/>
        </w:rPr>
        <w:t xml:space="preserve"> sukladno </w:t>
      </w:r>
      <w:r w:rsidR="0009043B" w:rsidRPr="009E0336">
        <w:rPr>
          <w:sz w:val="20"/>
          <w:szCs w:val="20"/>
        </w:rPr>
        <w:t xml:space="preserve">Uredbi o nazivima radnih mjesta, uvjetima za raspored i koeficijentima za obračun plaće u javnim službama (NN 22/24) koja je stupila na snagu 01. ožujka 2024.g., zatim zbog većeg broja timova sukladno novoj Mreži hitne medicine i sanitetskog prijevoza </w:t>
      </w:r>
      <w:r w:rsidR="00326B63" w:rsidRPr="009E0336">
        <w:rPr>
          <w:sz w:val="20"/>
          <w:szCs w:val="20"/>
        </w:rPr>
        <w:t xml:space="preserve">(Mreža) </w:t>
      </w:r>
      <w:r w:rsidR="0009043B" w:rsidRPr="009E0336">
        <w:rPr>
          <w:sz w:val="20"/>
          <w:szCs w:val="20"/>
        </w:rPr>
        <w:t>NN 134/2023</w:t>
      </w:r>
      <w:r w:rsidRPr="009E0336">
        <w:rPr>
          <w:rFonts w:eastAsia="Symbol"/>
          <w:kern w:val="0"/>
          <w:sz w:val="20"/>
          <w:szCs w:val="20"/>
          <w:lang w:val="pl-PL"/>
        </w:rPr>
        <w:t xml:space="preserve">, </w:t>
      </w:r>
      <w:r w:rsidR="00F61CC1" w:rsidRPr="009E0336">
        <w:rPr>
          <w:rFonts w:eastAsia="Symbol"/>
          <w:kern w:val="0"/>
          <w:sz w:val="20"/>
          <w:szCs w:val="20"/>
          <w:lang w:val="pl-PL"/>
        </w:rPr>
        <w:t xml:space="preserve">zatim zbog obveze nabave medicinske i komunikacijske opreme i vozila (iz izvora opći prihodi i primici i iz decentraliziranih sredsatva) sukladno novom </w:t>
      </w:r>
      <w:r w:rsidR="00F61CC1" w:rsidRPr="009E0336">
        <w:rPr>
          <w:sz w:val="20"/>
          <w:szCs w:val="20"/>
        </w:rPr>
        <w:t xml:space="preserve">Pravilniku o standardima i normativima u pogledu prostora, radnika i medicinsko-tehničke opreme za obavljanje djelatnosti hitne medicine i djelatnosti sanitetskog prijevoza (NN 64/24), </w:t>
      </w:r>
      <w:r w:rsidR="00864FCC" w:rsidRPr="009E0336">
        <w:rPr>
          <w:rFonts w:eastAsia="Symbol"/>
          <w:kern w:val="0"/>
          <w:sz w:val="20"/>
          <w:szCs w:val="20"/>
          <w:lang w:val="pl-PL"/>
        </w:rPr>
        <w:t>zbog ukidanja posebne nagrade zaposlenicima za obavljanje poslova pružanja skrbi pacijenitma oboljenima od bolesti Covid-19</w:t>
      </w:r>
      <w:r w:rsidR="00F61CC1" w:rsidRPr="009E0336">
        <w:rPr>
          <w:rFonts w:eastAsia="Symbol"/>
          <w:kern w:val="0"/>
          <w:sz w:val="20"/>
          <w:szCs w:val="20"/>
          <w:lang w:val="pl-PL"/>
        </w:rPr>
        <w:t xml:space="preserve"> (izvor pomoći)</w:t>
      </w:r>
      <w:r w:rsidR="00864FCC" w:rsidRPr="009E0336">
        <w:rPr>
          <w:rFonts w:eastAsia="Symbol"/>
          <w:kern w:val="0"/>
          <w:sz w:val="20"/>
          <w:szCs w:val="20"/>
          <w:lang w:val="pl-PL"/>
        </w:rPr>
        <w:t>,</w:t>
      </w:r>
      <w:r w:rsidR="00F61CC1" w:rsidRPr="009E0336">
        <w:rPr>
          <w:rFonts w:eastAsia="Symbol"/>
          <w:kern w:val="0"/>
          <w:sz w:val="20"/>
          <w:szCs w:val="20"/>
          <w:lang w:val="pl-PL"/>
        </w:rPr>
        <w:t xml:space="preserve"> </w:t>
      </w:r>
      <w:r w:rsidR="00864FCC" w:rsidRPr="009E0336">
        <w:rPr>
          <w:rFonts w:eastAsia="Symbol"/>
          <w:kern w:val="0"/>
          <w:sz w:val="20"/>
          <w:szCs w:val="20"/>
          <w:lang w:val="pl-PL"/>
        </w:rPr>
        <w:t>manjeg interesa doktora medicine za specijalističko usavršavanje iz hitne medicine</w:t>
      </w:r>
      <w:r w:rsidR="00F61CC1" w:rsidRPr="009E0336">
        <w:rPr>
          <w:rFonts w:eastAsia="Symbol"/>
          <w:kern w:val="0"/>
          <w:sz w:val="20"/>
          <w:szCs w:val="20"/>
          <w:lang w:val="pl-PL"/>
        </w:rPr>
        <w:t xml:space="preserve"> (izvor pomoći)</w:t>
      </w:r>
      <w:r w:rsidR="0010241D" w:rsidRPr="009E0336">
        <w:rPr>
          <w:rFonts w:eastAsia="Symbol"/>
          <w:kern w:val="0"/>
          <w:sz w:val="20"/>
          <w:szCs w:val="20"/>
          <w:lang w:val="pl-PL"/>
        </w:rPr>
        <w:t xml:space="preserve">, te </w:t>
      </w:r>
      <w:r w:rsidR="0010241D" w:rsidRPr="009E0336">
        <w:rPr>
          <w:iCs/>
          <w:sz w:val="20"/>
          <w:szCs w:val="20"/>
        </w:rPr>
        <w:t>ukidanja olakšice oslobođenja od obveze doprinosa na plaću za mlade osobe (do 30 godina života).</w:t>
      </w:r>
    </w:p>
    <w:p w14:paraId="346F127E" w14:textId="77777777" w:rsidR="00F61CC1" w:rsidRPr="009E0336" w:rsidRDefault="00F61CC1" w:rsidP="00864FCC">
      <w:pPr>
        <w:pStyle w:val="Standard"/>
        <w:jc w:val="both"/>
        <w:rPr>
          <w:b/>
          <w:bCs/>
          <w:sz w:val="20"/>
          <w:szCs w:val="20"/>
        </w:rPr>
      </w:pPr>
    </w:p>
    <w:p w14:paraId="37B1DC6A" w14:textId="77777777" w:rsidR="005747F4" w:rsidRPr="009E0336" w:rsidRDefault="005747F4" w:rsidP="005747F4">
      <w:pPr>
        <w:rPr>
          <w:rFonts w:ascii="Times New Roman" w:hAnsi="Times New Roman" w:cs="Times New Roman"/>
          <w:b/>
          <w:bCs/>
          <w:sz w:val="20"/>
          <w:szCs w:val="20"/>
        </w:rPr>
      </w:pPr>
      <w:r w:rsidRPr="009E0336">
        <w:rPr>
          <w:rFonts w:ascii="Times New Roman" w:hAnsi="Times New Roman" w:cs="Times New Roman"/>
          <w:b/>
          <w:bCs/>
          <w:sz w:val="20"/>
          <w:szCs w:val="20"/>
        </w:rPr>
        <w:t>Prihodi poslovanja</w:t>
      </w:r>
    </w:p>
    <w:p w14:paraId="6550E0DD" w14:textId="118F0979" w:rsidR="00E717C5" w:rsidRPr="009E0336" w:rsidRDefault="005747F4" w:rsidP="00405C8C">
      <w:pPr>
        <w:widowControl/>
        <w:suppressAutoHyphens w:val="0"/>
        <w:autoSpaceDN/>
        <w:spacing w:after="0" w:line="240" w:lineRule="auto"/>
        <w:jc w:val="both"/>
        <w:rPr>
          <w:rFonts w:ascii="Times New Roman" w:hAnsi="Times New Roman" w:cs="Times New Roman"/>
          <w:sz w:val="20"/>
          <w:szCs w:val="20"/>
        </w:rPr>
      </w:pPr>
      <w:r w:rsidRPr="009E0336">
        <w:rPr>
          <w:rFonts w:ascii="Times New Roman" w:eastAsia="Symbol" w:hAnsi="Times New Roman" w:cs="Times New Roman"/>
          <w:kern w:val="0"/>
          <w:sz w:val="20"/>
          <w:szCs w:val="20"/>
          <w:lang w:val="pl-PL" w:eastAsia="hr-HR"/>
        </w:rPr>
        <w:t xml:space="preserve">Pomoći iz inozemstva i od subjekata unutar općeg proračuna (skupina 63 / izvor Pomoći) – </w:t>
      </w:r>
      <w:r w:rsidR="00FB6E25" w:rsidRPr="009E0336">
        <w:rPr>
          <w:rFonts w:ascii="Times New Roman" w:eastAsia="Symbol" w:hAnsi="Times New Roman" w:cs="Times New Roman"/>
          <w:kern w:val="0"/>
          <w:sz w:val="20"/>
          <w:szCs w:val="20"/>
          <w:lang w:val="pl-PL" w:eastAsia="hr-HR"/>
        </w:rPr>
        <w:t xml:space="preserve">odnosi se na prihod iz Nacionalnog plana oporavka i otpornosti za financiranje dvije specijalizacija doktora medicine i dvadeset dvoje medicinskih tehničara iz hitne medicine, prihod od refundacija isplata pravomoćnih sudskih presuda za prekovremeni rad, </w:t>
      </w:r>
      <w:r w:rsidR="00405C8C" w:rsidRPr="009E0336">
        <w:rPr>
          <w:rFonts w:ascii="Times New Roman" w:eastAsia="Symbol" w:hAnsi="Times New Roman" w:cs="Times New Roman"/>
          <w:kern w:val="0"/>
          <w:sz w:val="20"/>
          <w:szCs w:val="20"/>
          <w:lang w:val="pl-PL" w:eastAsia="hr-HR"/>
        </w:rPr>
        <w:t xml:space="preserve">te prihod od Ministarstva turizma i od jedinica lokalne (regionalne) samouprave za financiranje dodatnih timova </w:t>
      </w:r>
      <w:r w:rsidR="00405C8C" w:rsidRPr="009E0336">
        <w:rPr>
          <w:rFonts w:ascii="Times New Roman" w:eastAsia="Symbol" w:hAnsi="Times New Roman" w:cs="Times New Roman"/>
          <w:kern w:val="0"/>
          <w:sz w:val="20"/>
          <w:szCs w:val="20"/>
          <w:lang w:val="pl-PL" w:eastAsia="hr-HR"/>
        </w:rPr>
        <w:lastRenderedPageBreak/>
        <w:t xml:space="preserve">hitne medicine tijekom turističke sezone. U 2025.g. ova vrsta prihoda planira se u iznosu od 1.064.000,00 € što je 1.044.387,40 € ili 49,5 % manje u odnosu na Rebalans br. I u 2024.g., odnosno 661.402,88 € ili 38,3 % manje u odnosu na ostvarenje u 2023.g. Značajno smanjenje ove </w:t>
      </w:r>
      <w:r w:rsidR="00E717C5" w:rsidRPr="009E0336">
        <w:rPr>
          <w:rFonts w:ascii="Times New Roman" w:eastAsia="Symbol" w:hAnsi="Times New Roman" w:cs="Times New Roman"/>
          <w:kern w:val="0"/>
          <w:sz w:val="20"/>
          <w:szCs w:val="20"/>
          <w:lang w:val="pl-PL" w:eastAsia="hr-HR"/>
        </w:rPr>
        <w:t>vrste prihoda</w:t>
      </w:r>
      <w:r w:rsidR="00405C8C" w:rsidRPr="009E0336">
        <w:rPr>
          <w:rFonts w:ascii="Times New Roman" w:eastAsia="Symbol" w:hAnsi="Times New Roman" w:cs="Times New Roman"/>
          <w:kern w:val="0"/>
          <w:sz w:val="20"/>
          <w:szCs w:val="20"/>
          <w:lang w:val="pl-PL" w:eastAsia="hr-HR"/>
        </w:rPr>
        <w:t xml:space="preserve"> posljedica je stupanja na snagu </w:t>
      </w:r>
      <w:r w:rsidR="00E717C5" w:rsidRPr="009E0336">
        <w:rPr>
          <w:rFonts w:ascii="Times New Roman" w:eastAsia="Symbol" w:hAnsi="Times New Roman" w:cs="Times New Roman"/>
          <w:kern w:val="0"/>
          <w:sz w:val="20"/>
          <w:szCs w:val="20"/>
          <w:lang w:val="pl-PL" w:eastAsia="hr-HR"/>
        </w:rPr>
        <w:t xml:space="preserve">dana 24. kolovoza 2024.g. </w:t>
      </w:r>
      <w:r w:rsidR="00405C8C" w:rsidRPr="009E0336">
        <w:rPr>
          <w:rFonts w:ascii="Times New Roman" w:hAnsi="Times New Roman" w:cs="Times New Roman"/>
          <w:sz w:val="20"/>
          <w:szCs w:val="20"/>
        </w:rPr>
        <w:t>Odluke o stavljanju izvan snage odluka o posebnoj nagradi za obavljanje poslova pružanja skrbi pacijentima oboljelima od bolesti Covid-19 (NN 99/24)</w:t>
      </w:r>
      <w:r w:rsidR="00405C8C" w:rsidRPr="009E0336">
        <w:rPr>
          <w:rFonts w:ascii="Times New Roman" w:eastAsia="Symbol" w:hAnsi="Times New Roman" w:cs="Times New Roman"/>
          <w:kern w:val="0"/>
          <w:sz w:val="20"/>
          <w:szCs w:val="20"/>
          <w:lang w:val="pl-PL" w:eastAsia="hr-HR"/>
        </w:rPr>
        <w:t xml:space="preserve"> jer je u 2023.g. i 2024.g. na ovoj poziciji </w:t>
      </w:r>
      <w:r w:rsidR="00E717C5" w:rsidRPr="009E0336">
        <w:rPr>
          <w:rFonts w:ascii="Times New Roman" w:eastAsia="Symbol" w:hAnsi="Times New Roman" w:cs="Times New Roman"/>
          <w:kern w:val="0"/>
          <w:sz w:val="20"/>
          <w:szCs w:val="20"/>
          <w:lang w:val="pl-PL" w:eastAsia="hr-HR"/>
        </w:rPr>
        <w:t xml:space="preserve">(sukladno Okružnici Ministarstva financija) </w:t>
      </w:r>
      <w:r w:rsidR="00405C8C" w:rsidRPr="009E0336">
        <w:rPr>
          <w:rFonts w:ascii="Times New Roman" w:eastAsia="Symbol" w:hAnsi="Times New Roman" w:cs="Times New Roman"/>
          <w:kern w:val="0"/>
          <w:sz w:val="20"/>
          <w:szCs w:val="20"/>
          <w:lang w:val="pl-PL" w:eastAsia="hr-HR"/>
        </w:rPr>
        <w:t xml:space="preserve">bila iskazana pomoć za isplatu </w:t>
      </w:r>
      <w:r w:rsidR="00405C8C" w:rsidRPr="009E0336">
        <w:rPr>
          <w:rFonts w:ascii="Times New Roman" w:hAnsi="Times New Roman" w:cs="Times New Roman"/>
          <w:bCs/>
          <w:sz w:val="20"/>
          <w:szCs w:val="20"/>
        </w:rPr>
        <w:t xml:space="preserve">posebne nagrade </w:t>
      </w:r>
      <w:r w:rsidR="00405C8C" w:rsidRPr="009E0336">
        <w:rPr>
          <w:rFonts w:ascii="Times New Roman" w:hAnsi="Times New Roman" w:cs="Times New Roman"/>
          <w:sz w:val="20"/>
          <w:szCs w:val="20"/>
        </w:rPr>
        <w:t>radnicima u sustavu zdravstva koji obavljaju poslove vezane za pružanje zdravstvene skrbi pacijentima oboljelima od bolesti Covid-19 (Odluka Vlade RH NN 136/20)</w:t>
      </w:r>
      <w:r w:rsidR="00864FCC" w:rsidRPr="009E0336">
        <w:rPr>
          <w:rFonts w:ascii="Times New Roman" w:hAnsi="Times New Roman" w:cs="Times New Roman"/>
          <w:sz w:val="20"/>
          <w:szCs w:val="20"/>
        </w:rPr>
        <w:t xml:space="preserve"> te manjeg broja doktora medicine na specijalističkom usavršavanju iz hitne medicine (u prošlogodišnjim projekcijama bilo je planirano sedam doktora medicine na specijalističkom usavršavanju dok je samo dvoje doktora iskazalo interes).</w:t>
      </w:r>
    </w:p>
    <w:p w14:paraId="32E43259" w14:textId="5575668F" w:rsidR="00F714A4" w:rsidRPr="009E0336" w:rsidRDefault="005747F4" w:rsidP="005747F4">
      <w:pPr>
        <w:widowControl/>
        <w:suppressAutoHyphens w:val="0"/>
        <w:autoSpaceDN/>
        <w:spacing w:after="0" w:line="240" w:lineRule="auto"/>
        <w:jc w:val="both"/>
        <w:rPr>
          <w:rFonts w:ascii="Times New Roman" w:eastAsia="Symbol" w:hAnsi="Times New Roman" w:cs="Times New Roman"/>
          <w:kern w:val="0"/>
          <w:sz w:val="20"/>
          <w:szCs w:val="20"/>
          <w:lang w:val="pl-PL" w:eastAsia="hr-HR"/>
        </w:rPr>
      </w:pPr>
      <w:r w:rsidRPr="009E0336">
        <w:rPr>
          <w:rFonts w:ascii="Times New Roman" w:eastAsia="Symbol" w:hAnsi="Times New Roman" w:cs="Times New Roman"/>
          <w:kern w:val="0"/>
          <w:sz w:val="20"/>
          <w:szCs w:val="20"/>
          <w:lang w:val="pl-PL" w:eastAsia="hr-HR"/>
        </w:rPr>
        <w:t>Projekcija za 202</w:t>
      </w:r>
      <w:r w:rsidR="004738A8" w:rsidRPr="009E0336">
        <w:rPr>
          <w:rFonts w:ascii="Times New Roman" w:eastAsia="Symbol" w:hAnsi="Times New Roman" w:cs="Times New Roman"/>
          <w:kern w:val="0"/>
          <w:sz w:val="20"/>
          <w:szCs w:val="20"/>
          <w:lang w:val="pl-PL" w:eastAsia="hr-HR"/>
        </w:rPr>
        <w:t>6</w:t>
      </w:r>
      <w:r w:rsidRPr="009E0336">
        <w:rPr>
          <w:rFonts w:ascii="Times New Roman" w:eastAsia="Symbol" w:hAnsi="Times New Roman" w:cs="Times New Roman"/>
          <w:kern w:val="0"/>
          <w:sz w:val="20"/>
          <w:szCs w:val="20"/>
          <w:lang w:val="pl-PL" w:eastAsia="hr-HR"/>
        </w:rPr>
        <w:t xml:space="preserve">.g. iznosi </w:t>
      </w:r>
      <w:r w:rsidR="00FF27B1" w:rsidRPr="009E0336">
        <w:rPr>
          <w:rFonts w:ascii="Times New Roman" w:eastAsia="Symbol" w:hAnsi="Times New Roman" w:cs="Times New Roman"/>
          <w:kern w:val="0"/>
          <w:sz w:val="20"/>
          <w:szCs w:val="20"/>
          <w:lang w:val="pl-PL" w:eastAsia="hr-HR"/>
        </w:rPr>
        <w:t>240.000,00 €</w:t>
      </w:r>
      <w:r w:rsidRPr="009E0336">
        <w:rPr>
          <w:rFonts w:ascii="Times New Roman" w:eastAsia="Symbol" w:hAnsi="Times New Roman" w:cs="Times New Roman"/>
          <w:kern w:val="0"/>
          <w:sz w:val="20"/>
          <w:szCs w:val="20"/>
          <w:lang w:val="pl-PL" w:eastAsia="hr-HR"/>
        </w:rPr>
        <w:t xml:space="preserve"> što je </w:t>
      </w:r>
      <w:r w:rsidR="00FF27B1" w:rsidRPr="009E0336">
        <w:rPr>
          <w:rFonts w:ascii="Times New Roman" w:eastAsia="Symbol" w:hAnsi="Times New Roman" w:cs="Times New Roman"/>
          <w:kern w:val="0"/>
          <w:sz w:val="20"/>
          <w:szCs w:val="20"/>
          <w:lang w:val="pl-PL" w:eastAsia="hr-HR"/>
        </w:rPr>
        <w:t>824.000,00 €</w:t>
      </w:r>
      <w:r w:rsidRPr="009E0336">
        <w:rPr>
          <w:rFonts w:ascii="Times New Roman" w:eastAsia="Symbol" w:hAnsi="Times New Roman" w:cs="Times New Roman"/>
          <w:kern w:val="0"/>
          <w:sz w:val="20"/>
          <w:szCs w:val="20"/>
          <w:lang w:val="pl-PL" w:eastAsia="hr-HR"/>
        </w:rPr>
        <w:t xml:space="preserve"> ili </w:t>
      </w:r>
      <w:r w:rsidR="00FF27B1" w:rsidRPr="009E0336">
        <w:rPr>
          <w:rFonts w:ascii="Times New Roman" w:eastAsia="Symbol" w:hAnsi="Times New Roman" w:cs="Times New Roman"/>
          <w:kern w:val="0"/>
          <w:sz w:val="20"/>
          <w:szCs w:val="20"/>
          <w:lang w:val="pl-PL" w:eastAsia="hr-HR"/>
        </w:rPr>
        <w:t xml:space="preserve">77,4 </w:t>
      </w:r>
      <w:r w:rsidRPr="009E0336">
        <w:rPr>
          <w:rFonts w:ascii="Times New Roman" w:eastAsia="Symbol" w:hAnsi="Times New Roman" w:cs="Times New Roman"/>
          <w:kern w:val="0"/>
          <w:sz w:val="20"/>
          <w:szCs w:val="20"/>
          <w:lang w:val="pl-PL" w:eastAsia="hr-HR"/>
        </w:rPr>
        <w:t>% manje od planiranog u 202</w:t>
      </w:r>
      <w:r w:rsidR="00FF27B1" w:rsidRPr="009E0336">
        <w:rPr>
          <w:rFonts w:ascii="Times New Roman" w:eastAsia="Symbol" w:hAnsi="Times New Roman" w:cs="Times New Roman"/>
          <w:kern w:val="0"/>
          <w:sz w:val="20"/>
          <w:szCs w:val="20"/>
          <w:lang w:val="pl-PL" w:eastAsia="hr-HR"/>
        </w:rPr>
        <w:t>5</w:t>
      </w:r>
      <w:r w:rsidRPr="009E0336">
        <w:rPr>
          <w:rFonts w:ascii="Times New Roman" w:eastAsia="Symbol" w:hAnsi="Times New Roman" w:cs="Times New Roman"/>
          <w:kern w:val="0"/>
          <w:sz w:val="20"/>
          <w:szCs w:val="20"/>
          <w:lang w:val="pl-PL" w:eastAsia="hr-HR"/>
        </w:rPr>
        <w:t xml:space="preserve">.g. jer </w:t>
      </w:r>
      <w:r w:rsidR="00FF27B1" w:rsidRPr="009E0336">
        <w:rPr>
          <w:rFonts w:ascii="Times New Roman" w:eastAsia="Symbol" w:hAnsi="Times New Roman" w:cs="Times New Roman"/>
          <w:kern w:val="0"/>
          <w:sz w:val="20"/>
          <w:szCs w:val="20"/>
          <w:lang w:val="pl-PL" w:eastAsia="hr-HR"/>
        </w:rPr>
        <w:t xml:space="preserve">se očekuje da će sve specijalizacije medicinskih tehničara prvostupnika sestrinstva iz hitne medicine biti okončane u 2025.g. te da će sve </w:t>
      </w:r>
      <w:r w:rsidRPr="009E0336">
        <w:rPr>
          <w:rFonts w:ascii="Times New Roman" w:eastAsia="Symbol" w:hAnsi="Times New Roman" w:cs="Times New Roman"/>
          <w:kern w:val="0"/>
          <w:sz w:val="20"/>
          <w:szCs w:val="20"/>
          <w:lang w:val="pl-PL" w:eastAsia="hr-HR"/>
        </w:rPr>
        <w:t>presude za prekovremeni biti refundirane tijekom 202</w:t>
      </w:r>
      <w:r w:rsidR="00FF27B1" w:rsidRPr="009E0336">
        <w:rPr>
          <w:rFonts w:ascii="Times New Roman" w:eastAsia="Symbol" w:hAnsi="Times New Roman" w:cs="Times New Roman"/>
          <w:kern w:val="0"/>
          <w:sz w:val="20"/>
          <w:szCs w:val="20"/>
          <w:lang w:val="pl-PL" w:eastAsia="hr-HR"/>
        </w:rPr>
        <w:t>5</w:t>
      </w:r>
      <w:r w:rsidRPr="009E0336">
        <w:rPr>
          <w:rFonts w:ascii="Times New Roman" w:eastAsia="Symbol" w:hAnsi="Times New Roman" w:cs="Times New Roman"/>
          <w:kern w:val="0"/>
          <w:sz w:val="20"/>
          <w:szCs w:val="20"/>
          <w:lang w:val="pl-PL" w:eastAsia="hr-HR"/>
        </w:rPr>
        <w:t>.g. Projekcija za 202</w:t>
      </w:r>
      <w:r w:rsidR="00FF27B1" w:rsidRPr="009E0336">
        <w:rPr>
          <w:rFonts w:ascii="Times New Roman" w:eastAsia="Symbol" w:hAnsi="Times New Roman" w:cs="Times New Roman"/>
          <w:kern w:val="0"/>
          <w:sz w:val="20"/>
          <w:szCs w:val="20"/>
          <w:lang w:val="pl-PL" w:eastAsia="hr-HR"/>
        </w:rPr>
        <w:t>7</w:t>
      </w:r>
      <w:r w:rsidRPr="009E0336">
        <w:rPr>
          <w:rFonts w:ascii="Times New Roman" w:eastAsia="Symbol" w:hAnsi="Times New Roman" w:cs="Times New Roman"/>
          <w:kern w:val="0"/>
          <w:sz w:val="20"/>
          <w:szCs w:val="20"/>
          <w:lang w:val="pl-PL" w:eastAsia="hr-HR"/>
        </w:rPr>
        <w:t xml:space="preserve">.g. iznosi </w:t>
      </w:r>
      <w:r w:rsidR="00F714A4" w:rsidRPr="009E0336">
        <w:rPr>
          <w:rFonts w:ascii="Times New Roman" w:eastAsia="Symbol" w:hAnsi="Times New Roman" w:cs="Times New Roman"/>
          <w:kern w:val="0"/>
          <w:sz w:val="20"/>
          <w:szCs w:val="20"/>
          <w:lang w:val="pl-PL" w:eastAsia="hr-HR"/>
        </w:rPr>
        <w:t>242.000,00 €</w:t>
      </w:r>
      <w:r w:rsidRPr="009E0336">
        <w:rPr>
          <w:rFonts w:ascii="Times New Roman" w:eastAsia="Symbol" w:hAnsi="Times New Roman" w:cs="Times New Roman"/>
          <w:kern w:val="0"/>
          <w:sz w:val="20"/>
          <w:szCs w:val="20"/>
          <w:lang w:val="pl-PL" w:eastAsia="hr-HR"/>
        </w:rPr>
        <w:t xml:space="preserve"> što je </w:t>
      </w:r>
      <w:r w:rsidR="00F714A4" w:rsidRPr="009E0336">
        <w:rPr>
          <w:rFonts w:ascii="Times New Roman" w:eastAsia="Symbol" w:hAnsi="Times New Roman" w:cs="Times New Roman"/>
          <w:kern w:val="0"/>
          <w:sz w:val="20"/>
          <w:szCs w:val="20"/>
          <w:lang w:val="pl-PL" w:eastAsia="hr-HR"/>
        </w:rPr>
        <w:t>neznatno povećanje u odnosu na 2026.g. (povećano za 2.000,00 €</w:t>
      </w:r>
      <w:r w:rsidRPr="009E0336">
        <w:rPr>
          <w:rFonts w:ascii="Times New Roman" w:eastAsia="Symbol" w:hAnsi="Times New Roman" w:cs="Times New Roman"/>
          <w:kern w:val="0"/>
          <w:sz w:val="20"/>
          <w:szCs w:val="20"/>
          <w:lang w:val="pl-PL" w:eastAsia="hr-HR"/>
        </w:rPr>
        <w:t xml:space="preserve"> ili </w:t>
      </w:r>
      <w:r w:rsidR="00F714A4" w:rsidRPr="009E0336">
        <w:rPr>
          <w:rFonts w:ascii="Times New Roman" w:eastAsia="Symbol" w:hAnsi="Times New Roman" w:cs="Times New Roman"/>
          <w:kern w:val="0"/>
          <w:sz w:val="20"/>
          <w:szCs w:val="20"/>
          <w:lang w:val="pl-PL" w:eastAsia="hr-HR"/>
        </w:rPr>
        <w:t xml:space="preserve">0,8 </w:t>
      </w:r>
      <w:r w:rsidRPr="009E0336">
        <w:rPr>
          <w:rFonts w:ascii="Times New Roman" w:eastAsia="Symbol" w:hAnsi="Times New Roman" w:cs="Times New Roman"/>
          <w:kern w:val="0"/>
          <w:sz w:val="20"/>
          <w:szCs w:val="20"/>
          <w:lang w:val="pl-PL" w:eastAsia="hr-HR"/>
        </w:rPr>
        <w:t xml:space="preserve">% jer se </w:t>
      </w:r>
      <w:r w:rsidR="00F714A4" w:rsidRPr="009E0336">
        <w:rPr>
          <w:rFonts w:ascii="Times New Roman" w:eastAsia="Symbol" w:hAnsi="Times New Roman" w:cs="Times New Roman"/>
          <w:kern w:val="0"/>
          <w:sz w:val="20"/>
          <w:szCs w:val="20"/>
          <w:lang w:val="pl-PL" w:eastAsia="hr-HR"/>
        </w:rPr>
        <w:t>planiraju prihodi od pomoći u istom obimu uz minimalno povećanje zbog većih obveza prema zaposlenima zbog minulog staža).</w:t>
      </w:r>
    </w:p>
    <w:p w14:paraId="64D7E346" w14:textId="77777777" w:rsidR="005747F4" w:rsidRPr="009E0336" w:rsidRDefault="005747F4" w:rsidP="005747F4">
      <w:pPr>
        <w:widowControl/>
        <w:suppressAutoHyphens w:val="0"/>
        <w:autoSpaceDN/>
        <w:spacing w:after="0" w:line="240" w:lineRule="auto"/>
        <w:jc w:val="both"/>
        <w:rPr>
          <w:rFonts w:ascii="Times New Roman" w:eastAsia="Symbol" w:hAnsi="Times New Roman" w:cs="Times New Roman"/>
          <w:kern w:val="0"/>
          <w:sz w:val="20"/>
          <w:szCs w:val="20"/>
          <w:lang w:val="pl-PL" w:eastAsia="hr-HR"/>
        </w:rPr>
      </w:pPr>
    </w:p>
    <w:p w14:paraId="4936CE0B" w14:textId="77777777" w:rsidR="005747F4" w:rsidRPr="009E0336" w:rsidRDefault="005747F4" w:rsidP="005747F4">
      <w:pPr>
        <w:widowControl/>
        <w:suppressAutoHyphens w:val="0"/>
        <w:autoSpaceDN/>
        <w:spacing w:after="0" w:line="240" w:lineRule="auto"/>
        <w:jc w:val="both"/>
        <w:rPr>
          <w:rFonts w:ascii="Times New Roman" w:eastAsia="Symbol" w:hAnsi="Times New Roman" w:cs="Times New Roman"/>
          <w:kern w:val="0"/>
          <w:sz w:val="20"/>
          <w:szCs w:val="20"/>
          <w:lang w:val="pl-PL" w:eastAsia="hr-HR"/>
        </w:rPr>
      </w:pPr>
      <w:r w:rsidRPr="009E0336">
        <w:rPr>
          <w:rFonts w:ascii="Times New Roman" w:eastAsia="Symbol" w:hAnsi="Times New Roman" w:cs="Times New Roman"/>
          <w:kern w:val="0"/>
          <w:sz w:val="20"/>
          <w:szCs w:val="20"/>
          <w:lang w:val="pl-PL" w:eastAsia="hr-HR"/>
        </w:rPr>
        <w:t>Prihodi od imovine (skupina 64 / izvor Vlastiti prihodi) – prihodi od pozitivnih tečajnih razlika i od kamata kroz sve tri godine planiraju se u iznosu od 100,00 eura jer se na očekuje značajno povećanje ove vrste prihoda.</w:t>
      </w:r>
    </w:p>
    <w:p w14:paraId="568B5F20" w14:textId="77777777" w:rsidR="005747F4" w:rsidRPr="009E0336" w:rsidRDefault="005747F4" w:rsidP="005747F4">
      <w:pPr>
        <w:widowControl/>
        <w:suppressAutoHyphens w:val="0"/>
        <w:autoSpaceDN/>
        <w:spacing w:after="0" w:line="240" w:lineRule="auto"/>
        <w:jc w:val="both"/>
        <w:rPr>
          <w:rFonts w:ascii="Times New Roman" w:eastAsia="Symbol" w:hAnsi="Times New Roman" w:cs="Times New Roman"/>
          <w:kern w:val="0"/>
          <w:sz w:val="20"/>
          <w:szCs w:val="20"/>
          <w:lang w:val="pl-PL" w:eastAsia="hr-HR"/>
        </w:rPr>
      </w:pPr>
    </w:p>
    <w:p w14:paraId="3BCD3461" w14:textId="19C32942" w:rsidR="005747F4" w:rsidRPr="009E0336" w:rsidRDefault="005747F4" w:rsidP="005747F4">
      <w:pPr>
        <w:widowControl/>
        <w:suppressAutoHyphens w:val="0"/>
        <w:autoSpaceDN/>
        <w:spacing w:after="0" w:line="240" w:lineRule="auto"/>
        <w:rPr>
          <w:rFonts w:ascii="Times New Roman" w:eastAsia="Symbol" w:hAnsi="Times New Roman" w:cs="Times New Roman"/>
          <w:kern w:val="0"/>
          <w:sz w:val="20"/>
          <w:szCs w:val="20"/>
          <w:lang w:val="pl-PL" w:eastAsia="hr-HR"/>
        </w:rPr>
      </w:pPr>
      <w:r w:rsidRPr="009E0336">
        <w:rPr>
          <w:rFonts w:ascii="Times New Roman" w:eastAsia="Symbol" w:hAnsi="Times New Roman" w:cs="Times New Roman"/>
          <w:kern w:val="0"/>
          <w:sz w:val="20"/>
          <w:szCs w:val="20"/>
          <w:lang w:val="pl-PL" w:eastAsia="hr-HR"/>
        </w:rPr>
        <w:t>Prihodi od upravnih i administrativnih pristojbi, pristojbi po posebnim propisima i naknadama (skupina 65) – odnosi se na prihod od refundacija šteta na vozilima od osiguravajuće kuće. U 202</w:t>
      </w:r>
      <w:r w:rsidR="00864FCC" w:rsidRPr="009E0336">
        <w:rPr>
          <w:rFonts w:ascii="Times New Roman" w:eastAsia="Symbol" w:hAnsi="Times New Roman" w:cs="Times New Roman"/>
          <w:kern w:val="0"/>
          <w:sz w:val="20"/>
          <w:szCs w:val="20"/>
          <w:lang w:val="pl-PL" w:eastAsia="hr-HR"/>
        </w:rPr>
        <w:t>5</w:t>
      </w:r>
      <w:r w:rsidRPr="009E0336">
        <w:rPr>
          <w:rFonts w:ascii="Times New Roman" w:eastAsia="Symbol" w:hAnsi="Times New Roman" w:cs="Times New Roman"/>
          <w:kern w:val="0"/>
          <w:sz w:val="20"/>
          <w:szCs w:val="20"/>
          <w:lang w:val="pl-PL" w:eastAsia="hr-HR"/>
        </w:rPr>
        <w:t xml:space="preserve">.g. planira se u iznosu od </w:t>
      </w:r>
      <w:r w:rsidR="00864FCC" w:rsidRPr="009E0336">
        <w:rPr>
          <w:rFonts w:ascii="Times New Roman" w:eastAsia="Symbol" w:hAnsi="Times New Roman" w:cs="Times New Roman"/>
          <w:kern w:val="0"/>
          <w:sz w:val="20"/>
          <w:szCs w:val="20"/>
          <w:lang w:val="pl-PL" w:eastAsia="hr-HR"/>
        </w:rPr>
        <w:t>20.000,00 €</w:t>
      </w:r>
      <w:r w:rsidRPr="009E0336">
        <w:rPr>
          <w:rFonts w:ascii="Times New Roman" w:eastAsia="Symbol" w:hAnsi="Times New Roman" w:cs="Times New Roman"/>
          <w:kern w:val="0"/>
          <w:sz w:val="20"/>
          <w:szCs w:val="20"/>
          <w:lang w:val="pl-PL" w:eastAsia="hr-HR"/>
        </w:rPr>
        <w:t xml:space="preserve"> dok u iduće dvije godine se očekuje povećanje od 5 % godišnje.</w:t>
      </w:r>
    </w:p>
    <w:p w14:paraId="4A5F3A57" w14:textId="77777777" w:rsidR="005747F4" w:rsidRPr="009E0336" w:rsidRDefault="005747F4" w:rsidP="005747F4">
      <w:pPr>
        <w:widowControl/>
        <w:suppressAutoHyphens w:val="0"/>
        <w:autoSpaceDN/>
        <w:spacing w:after="0" w:line="240" w:lineRule="auto"/>
        <w:rPr>
          <w:rFonts w:ascii="Times New Roman" w:eastAsia="Symbol" w:hAnsi="Times New Roman" w:cs="Times New Roman"/>
          <w:kern w:val="0"/>
          <w:sz w:val="20"/>
          <w:szCs w:val="20"/>
          <w:lang w:val="pl-PL" w:eastAsia="hr-HR"/>
        </w:rPr>
      </w:pPr>
    </w:p>
    <w:p w14:paraId="424DF1EC" w14:textId="01D2C123" w:rsidR="005747F4" w:rsidRPr="009E0336" w:rsidRDefault="005747F4" w:rsidP="005747F4">
      <w:pPr>
        <w:spacing w:line="240" w:lineRule="auto"/>
        <w:jc w:val="both"/>
        <w:rPr>
          <w:rFonts w:ascii="Times New Roman" w:eastAsia="Symbol" w:hAnsi="Times New Roman" w:cs="Times New Roman"/>
          <w:kern w:val="0"/>
          <w:sz w:val="20"/>
          <w:szCs w:val="20"/>
          <w:lang w:val="pl-PL" w:eastAsia="hr-HR"/>
        </w:rPr>
      </w:pPr>
      <w:r w:rsidRPr="009E0336">
        <w:rPr>
          <w:rFonts w:ascii="Times New Roman" w:eastAsia="Symbol" w:hAnsi="Times New Roman" w:cs="Times New Roman"/>
          <w:kern w:val="0"/>
          <w:sz w:val="20"/>
          <w:szCs w:val="20"/>
          <w:lang w:val="pl-PL" w:eastAsia="hr-HR"/>
        </w:rPr>
        <w:t>Prihodi od prodaje proizvoda i robe te pruženih usluga i prihodi od donacija (skupina 66 / izvor Vlastiti prihodi) – odnosi se na prihod od  pruženih zdravstvenih usluga osobama bez osiguranja (uglavnom strani državljani koji dolaze iz država koje nisu članice Europske unije), prihod od usluga dežurstva timova hitne medicine na raznim događajima (sportskim, komercijalnim i dr.), prihod od refundacije plaća specijalizanata za odrađena dežurstva u KBC-u Split, prihoda za pružene usluge pripravnosti doktora medicine i prihoda od edukacija iz hitne medicine. U 202</w:t>
      </w:r>
      <w:r w:rsidR="00DC5FED" w:rsidRPr="009E0336">
        <w:rPr>
          <w:rFonts w:ascii="Times New Roman" w:eastAsia="Symbol" w:hAnsi="Times New Roman" w:cs="Times New Roman"/>
          <w:kern w:val="0"/>
          <w:sz w:val="20"/>
          <w:szCs w:val="20"/>
          <w:lang w:val="pl-PL" w:eastAsia="hr-HR"/>
        </w:rPr>
        <w:t>5</w:t>
      </w:r>
      <w:r w:rsidRPr="009E0336">
        <w:rPr>
          <w:rFonts w:ascii="Times New Roman" w:eastAsia="Symbol" w:hAnsi="Times New Roman" w:cs="Times New Roman"/>
          <w:kern w:val="0"/>
          <w:sz w:val="20"/>
          <w:szCs w:val="20"/>
          <w:lang w:val="pl-PL" w:eastAsia="hr-HR"/>
        </w:rPr>
        <w:t xml:space="preserve">.g. ova vrsta prihoda planira se u iznosu od </w:t>
      </w:r>
      <w:r w:rsidR="00DC5FED" w:rsidRPr="009E0336">
        <w:rPr>
          <w:rFonts w:ascii="Times New Roman" w:eastAsia="Symbol" w:hAnsi="Times New Roman" w:cs="Times New Roman"/>
          <w:kern w:val="0"/>
          <w:sz w:val="20"/>
          <w:szCs w:val="20"/>
          <w:lang w:val="pl-PL" w:eastAsia="hr-HR"/>
        </w:rPr>
        <w:t>350</w:t>
      </w:r>
      <w:r w:rsidRPr="009E0336">
        <w:rPr>
          <w:rFonts w:ascii="Times New Roman" w:eastAsia="Symbol" w:hAnsi="Times New Roman" w:cs="Times New Roman"/>
          <w:kern w:val="0"/>
          <w:sz w:val="20"/>
          <w:szCs w:val="20"/>
          <w:lang w:val="pl-PL" w:eastAsia="hr-HR"/>
        </w:rPr>
        <w:t xml:space="preserve">.000,00 </w:t>
      </w:r>
      <w:r w:rsidR="00DC5FED" w:rsidRPr="009E0336">
        <w:rPr>
          <w:rFonts w:ascii="Times New Roman" w:eastAsia="Symbol" w:hAnsi="Times New Roman" w:cs="Times New Roman"/>
          <w:kern w:val="0"/>
          <w:sz w:val="20"/>
          <w:szCs w:val="20"/>
          <w:lang w:val="pl-PL" w:eastAsia="hr-HR"/>
        </w:rPr>
        <w:t>€</w:t>
      </w:r>
      <w:r w:rsidRPr="009E0336">
        <w:rPr>
          <w:rFonts w:ascii="Times New Roman" w:eastAsia="Symbol" w:hAnsi="Times New Roman" w:cs="Times New Roman"/>
          <w:kern w:val="0"/>
          <w:sz w:val="20"/>
          <w:szCs w:val="20"/>
          <w:lang w:val="pl-PL" w:eastAsia="hr-HR"/>
        </w:rPr>
        <w:t xml:space="preserve"> što je </w:t>
      </w:r>
      <w:r w:rsidR="00DC5FED" w:rsidRPr="009E0336">
        <w:rPr>
          <w:rFonts w:ascii="Times New Roman" w:eastAsia="Symbol" w:hAnsi="Times New Roman" w:cs="Times New Roman"/>
          <w:kern w:val="0"/>
          <w:sz w:val="20"/>
          <w:szCs w:val="20"/>
          <w:lang w:val="pl-PL" w:eastAsia="hr-HR"/>
        </w:rPr>
        <w:t>52.000</w:t>
      </w:r>
      <w:r w:rsidRPr="009E0336">
        <w:rPr>
          <w:rFonts w:ascii="Times New Roman" w:eastAsia="Symbol" w:hAnsi="Times New Roman" w:cs="Times New Roman"/>
          <w:kern w:val="0"/>
          <w:sz w:val="20"/>
          <w:szCs w:val="20"/>
          <w:lang w:val="pl-PL" w:eastAsia="hr-HR"/>
        </w:rPr>
        <w:t xml:space="preserve">,00 </w:t>
      </w:r>
      <w:r w:rsidR="00DC5FED" w:rsidRPr="009E0336">
        <w:rPr>
          <w:rFonts w:ascii="Times New Roman" w:eastAsia="Symbol" w:hAnsi="Times New Roman" w:cs="Times New Roman"/>
          <w:kern w:val="0"/>
          <w:sz w:val="20"/>
          <w:szCs w:val="20"/>
          <w:lang w:val="pl-PL" w:eastAsia="hr-HR"/>
        </w:rPr>
        <w:t>€</w:t>
      </w:r>
      <w:r w:rsidRPr="009E0336">
        <w:rPr>
          <w:rFonts w:ascii="Times New Roman" w:eastAsia="Symbol" w:hAnsi="Times New Roman" w:cs="Times New Roman"/>
          <w:kern w:val="0"/>
          <w:sz w:val="20"/>
          <w:szCs w:val="20"/>
          <w:lang w:val="pl-PL" w:eastAsia="hr-HR"/>
        </w:rPr>
        <w:t xml:space="preserve"> ili </w:t>
      </w:r>
      <w:r w:rsidR="00DC5FED" w:rsidRPr="009E0336">
        <w:rPr>
          <w:rFonts w:ascii="Times New Roman" w:eastAsia="Symbol" w:hAnsi="Times New Roman" w:cs="Times New Roman"/>
          <w:kern w:val="0"/>
          <w:sz w:val="20"/>
          <w:szCs w:val="20"/>
          <w:lang w:val="pl-PL" w:eastAsia="hr-HR"/>
        </w:rPr>
        <w:t>17,5</w:t>
      </w:r>
      <w:r w:rsidRPr="009E0336">
        <w:rPr>
          <w:rFonts w:ascii="Times New Roman" w:eastAsia="Symbol" w:hAnsi="Times New Roman" w:cs="Times New Roman"/>
          <w:kern w:val="0"/>
          <w:sz w:val="20"/>
          <w:szCs w:val="20"/>
          <w:lang w:val="pl-PL" w:eastAsia="hr-HR"/>
        </w:rPr>
        <w:t xml:space="preserve"> % </w:t>
      </w:r>
      <w:r w:rsidR="00DC5FED" w:rsidRPr="009E0336">
        <w:rPr>
          <w:rFonts w:ascii="Times New Roman" w:eastAsia="Symbol" w:hAnsi="Times New Roman" w:cs="Times New Roman"/>
          <w:kern w:val="0"/>
          <w:sz w:val="20"/>
          <w:szCs w:val="20"/>
          <w:lang w:val="pl-PL" w:eastAsia="hr-HR"/>
        </w:rPr>
        <w:t xml:space="preserve">više </w:t>
      </w:r>
      <w:r w:rsidRPr="009E0336">
        <w:rPr>
          <w:rFonts w:ascii="Times New Roman" w:eastAsia="Symbol" w:hAnsi="Times New Roman" w:cs="Times New Roman"/>
          <w:kern w:val="0"/>
          <w:sz w:val="20"/>
          <w:szCs w:val="20"/>
          <w:lang w:val="pl-PL" w:eastAsia="hr-HR"/>
        </w:rPr>
        <w:t>u odnosu na plan za 202</w:t>
      </w:r>
      <w:r w:rsidR="00DC5FED" w:rsidRPr="009E0336">
        <w:rPr>
          <w:rFonts w:ascii="Times New Roman" w:eastAsia="Symbol" w:hAnsi="Times New Roman" w:cs="Times New Roman"/>
          <w:kern w:val="0"/>
          <w:sz w:val="20"/>
          <w:szCs w:val="20"/>
          <w:lang w:val="pl-PL" w:eastAsia="hr-HR"/>
        </w:rPr>
        <w:t>4</w:t>
      </w:r>
      <w:r w:rsidRPr="009E0336">
        <w:rPr>
          <w:rFonts w:ascii="Times New Roman" w:eastAsia="Symbol" w:hAnsi="Times New Roman" w:cs="Times New Roman"/>
          <w:kern w:val="0"/>
          <w:sz w:val="20"/>
          <w:szCs w:val="20"/>
          <w:lang w:val="pl-PL" w:eastAsia="hr-HR"/>
        </w:rPr>
        <w:t xml:space="preserve">.g., odnosno </w:t>
      </w:r>
      <w:r w:rsidR="00DC5FED" w:rsidRPr="009E0336">
        <w:rPr>
          <w:rFonts w:ascii="Times New Roman" w:eastAsia="Symbol" w:hAnsi="Times New Roman" w:cs="Times New Roman"/>
          <w:kern w:val="0"/>
          <w:sz w:val="20"/>
          <w:szCs w:val="20"/>
          <w:lang w:val="pl-PL" w:eastAsia="hr-HR"/>
        </w:rPr>
        <w:t>58.752,60</w:t>
      </w:r>
      <w:r w:rsidRPr="009E0336">
        <w:rPr>
          <w:rFonts w:ascii="Times New Roman" w:eastAsia="Symbol" w:hAnsi="Times New Roman" w:cs="Times New Roman"/>
          <w:kern w:val="0"/>
          <w:sz w:val="20"/>
          <w:szCs w:val="20"/>
          <w:lang w:val="pl-PL" w:eastAsia="hr-HR"/>
        </w:rPr>
        <w:t xml:space="preserve"> </w:t>
      </w:r>
      <w:r w:rsidR="00DC5FED" w:rsidRPr="009E0336">
        <w:rPr>
          <w:rFonts w:ascii="Times New Roman" w:eastAsia="Symbol" w:hAnsi="Times New Roman" w:cs="Times New Roman"/>
          <w:kern w:val="0"/>
          <w:sz w:val="20"/>
          <w:szCs w:val="20"/>
          <w:lang w:val="pl-PL" w:eastAsia="hr-HR"/>
        </w:rPr>
        <w:t>€</w:t>
      </w:r>
      <w:r w:rsidRPr="009E0336">
        <w:rPr>
          <w:rFonts w:ascii="Times New Roman" w:eastAsia="Symbol" w:hAnsi="Times New Roman" w:cs="Times New Roman"/>
          <w:kern w:val="0"/>
          <w:sz w:val="20"/>
          <w:szCs w:val="20"/>
          <w:lang w:val="pl-PL" w:eastAsia="hr-HR"/>
        </w:rPr>
        <w:t xml:space="preserve"> ili </w:t>
      </w:r>
      <w:r w:rsidR="00DC5FED" w:rsidRPr="009E0336">
        <w:rPr>
          <w:rFonts w:ascii="Times New Roman" w:eastAsia="Symbol" w:hAnsi="Times New Roman" w:cs="Times New Roman"/>
          <w:kern w:val="0"/>
          <w:sz w:val="20"/>
          <w:szCs w:val="20"/>
          <w:lang w:val="pl-PL" w:eastAsia="hr-HR"/>
        </w:rPr>
        <w:t xml:space="preserve">20,2 </w:t>
      </w:r>
      <w:r w:rsidRPr="009E0336">
        <w:rPr>
          <w:rFonts w:ascii="Times New Roman" w:eastAsia="Symbol" w:hAnsi="Times New Roman" w:cs="Times New Roman"/>
          <w:kern w:val="0"/>
          <w:sz w:val="20"/>
          <w:szCs w:val="20"/>
          <w:lang w:val="pl-PL" w:eastAsia="hr-HR"/>
        </w:rPr>
        <w:t xml:space="preserve">% </w:t>
      </w:r>
      <w:r w:rsidR="00DC5FED" w:rsidRPr="009E0336">
        <w:rPr>
          <w:rFonts w:ascii="Times New Roman" w:eastAsia="Symbol" w:hAnsi="Times New Roman" w:cs="Times New Roman"/>
          <w:kern w:val="0"/>
          <w:sz w:val="20"/>
          <w:szCs w:val="20"/>
          <w:lang w:val="pl-PL" w:eastAsia="hr-HR"/>
        </w:rPr>
        <w:t>više</w:t>
      </w:r>
      <w:r w:rsidRPr="009E0336">
        <w:rPr>
          <w:rFonts w:ascii="Times New Roman" w:eastAsia="Symbol" w:hAnsi="Times New Roman" w:cs="Times New Roman"/>
          <w:kern w:val="0"/>
          <w:sz w:val="20"/>
          <w:szCs w:val="20"/>
          <w:lang w:val="pl-PL" w:eastAsia="hr-HR"/>
        </w:rPr>
        <w:t xml:space="preserve"> u odnosu na ostvarenje u 202</w:t>
      </w:r>
      <w:r w:rsidR="00DC5FED" w:rsidRPr="009E0336">
        <w:rPr>
          <w:rFonts w:ascii="Times New Roman" w:eastAsia="Symbol" w:hAnsi="Times New Roman" w:cs="Times New Roman"/>
          <w:kern w:val="0"/>
          <w:sz w:val="20"/>
          <w:szCs w:val="20"/>
          <w:lang w:val="pl-PL" w:eastAsia="hr-HR"/>
        </w:rPr>
        <w:t>3</w:t>
      </w:r>
      <w:r w:rsidRPr="009E0336">
        <w:rPr>
          <w:rFonts w:ascii="Times New Roman" w:eastAsia="Symbol" w:hAnsi="Times New Roman" w:cs="Times New Roman"/>
          <w:kern w:val="0"/>
          <w:sz w:val="20"/>
          <w:szCs w:val="20"/>
          <w:lang w:val="pl-PL" w:eastAsia="hr-HR"/>
        </w:rPr>
        <w:t xml:space="preserve">.g. jer se očekuje </w:t>
      </w:r>
      <w:r w:rsidR="00DC5FED" w:rsidRPr="009E0336">
        <w:rPr>
          <w:rFonts w:ascii="Times New Roman" w:eastAsia="Symbol" w:hAnsi="Times New Roman" w:cs="Times New Roman"/>
          <w:kern w:val="0"/>
          <w:sz w:val="20"/>
          <w:szCs w:val="20"/>
          <w:lang w:val="pl-PL" w:eastAsia="hr-HR"/>
        </w:rPr>
        <w:t xml:space="preserve">veći </w:t>
      </w:r>
      <w:r w:rsidRPr="009E0336">
        <w:rPr>
          <w:rFonts w:ascii="Times New Roman" w:eastAsia="Symbol" w:hAnsi="Times New Roman" w:cs="Times New Roman"/>
          <w:kern w:val="0"/>
          <w:sz w:val="20"/>
          <w:szCs w:val="20"/>
          <w:lang w:val="pl-PL" w:eastAsia="hr-HR"/>
        </w:rPr>
        <w:t xml:space="preserve">prihod </w:t>
      </w:r>
      <w:r w:rsidR="00DC5FED" w:rsidRPr="009E0336">
        <w:rPr>
          <w:rFonts w:ascii="Times New Roman" w:eastAsia="Symbol" w:hAnsi="Times New Roman" w:cs="Times New Roman"/>
          <w:kern w:val="0"/>
          <w:sz w:val="20"/>
          <w:szCs w:val="20"/>
          <w:lang w:val="pl-PL" w:eastAsia="hr-HR"/>
        </w:rPr>
        <w:t xml:space="preserve">od pruženih zdravstvenih usluga neosiguranim osobama zbog većeg broja timova u radu te </w:t>
      </w:r>
      <w:r w:rsidRPr="009E0336">
        <w:rPr>
          <w:rFonts w:ascii="Times New Roman" w:eastAsia="Symbol" w:hAnsi="Times New Roman" w:cs="Times New Roman"/>
          <w:kern w:val="0"/>
          <w:sz w:val="20"/>
          <w:szCs w:val="20"/>
          <w:lang w:val="pl-PL" w:eastAsia="hr-HR"/>
        </w:rPr>
        <w:t xml:space="preserve">od </w:t>
      </w:r>
      <w:r w:rsidR="00DC5FED" w:rsidRPr="009E0336">
        <w:rPr>
          <w:rFonts w:ascii="Times New Roman" w:eastAsia="Symbol" w:hAnsi="Times New Roman" w:cs="Times New Roman"/>
          <w:kern w:val="0"/>
          <w:sz w:val="20"/>
          <w:szCs w:val="20"/>
          <w:lang w:val="pl-PL" w:eastAsia="hr-HR"/>
        </w:rPr>
        <w:t xml:space="preserve">većeg prihoda od </w:t>
      </w:r>
      <w:r w:rsidRPr="009E0336">
        <w:rPr>
          <w:rFonts w:ascii="Times New Roman" w:eastAsia="Symbol" w:hAnsi="Times New Roman" w:cs="Times New Roman"/>
          <w:kern w:val="0"/>
          <w:sz w:val="20"/>
          <w:szCs w:val="20"/>
          <w:lang w:val="pl-PL" w:eastAsia="hr-HR"/>
        </w:rPr>
        <w:t xml:space="preserve">refundacija plaća za </w:t>
      </w:r>
      <w:r w:rsidR="00DC5FED" w:rsidRPr="009E0336">
        <w:rPr>
          <w:rFonts w:ascii="Times New Roman" w:eastAsia="Symbol" w:hAnsi="Times New Roman" w:cs="Times New Roman"/>
          <w:kern w:val="0"/>
          <w:sz w:val="20"/>
          <w:szCs w:val="20"/>
          <w:lang w:val="pl-PL" w:eastAsia="hr-HR"/>
        </w:rPr>
        <w:t xml:space="preserve">dežurstva </w:t>
      </w:r>
      <w:r w:rsidRPr="009E0336">
        <w:rPr>
          <w:rFonts w:ascii="Times New Roman" w:eastAsia="Symbol" w:hAnsi="Times New Roman" w:cs="Times New Roman"/>
          <w:kern w:val="0"/>
          <w:sz w:val="20"/>
          <w:szCs w:val="20"/>
          <w:lang w:val="pl-PL" w:eastAsia="hr-HR"/>
        </w:rPr>
        <w:t>specijalizan</w:t>
      </w:r>
      <w:r w:rsidR="00DC5FED" w:rsidRPr="009E0336">
        <w:rPr>
          <w:rFonts w:ascii="Times New Roman" w:eastAsia="Symbol" w:hAnsi="Times New Roman" w:cs="Times New Roman"/>
          <w:kern w:val="0"/>
          <w:sz w:val="20"/>
          <w:szCs w:val="20"/>
          <w:lang w:val="pl-PL" w:eastAsia="hr-HR"/>
        </w:rPr>
        <w:t>a</w:t>
      </w:r>
      <w:r w:rsidRPr="009E0336">
        <w:rPr>
          <w:rFonts w:ascii="Times New Roman" w:eastAsia="Symbol" w:hAnsi="Times New Roman" w:cs="Times New Roman"/>
          <w:kern w:val="0"/>
          <w:sz w:val="20"/>
          <w:szCs w:val="20"/>
          <w:lang w:val="pl-PL" w:eastAsia="hr-HR"/>
        </w:rPr>
        <w:t>t</w:t>
      </w:r>
      <w:r w:rsidR="00DC5FED" w:rsidRPr="009E0336">
        <w:rPr>
          <w:rFonts w:ascii="Times New Roman" w:eastAsia="Symbol" w:hAnsi="Times New Roman" w:cs="Times New Roman"/>
          <w:kern w:val="0"/>
          <w:sz w:val="20"/>
          <w:szCs w:val="20"/>
          <w:lang w:val="pl-PL" w:eastAsia="hr-HR"/>
        </w:rPr>
        <w:t>a</w:t>
      </w:r>
      <w:r w:rsidRPr="009E0336">
        <w:rPr>
          <w:rFonts w:ascii="Times New Roman" w:eastAsia="Symbol" w:hAnsi="Times New Roman" w:cs="Times New Roman"/>
          <w:kern w:val="0"/>
          <w:sz w:val="20"/>
          <w:szCs w:val="20"/>
          <w:lang w:val="pl-PL" w:eastAsia="hr-HR"/>
        </w:rPr>
        <w:t>. Projekcija za 202</w:t>
      </w:r>
      <w:r w:rsidR="00DC5FED" w:rsidRPr="009E0336">
        <w:rPr>
          <w:rFonts w:ascii="Times New Roman" w:eastAsia="Symbol" w:hAnsi="Times New Roman" w:cs="Times New Roman"/>
          <w:kern w:val="0"/>
          <w:sz w:val="20"/>
          <w:szCs w:val="20"/>
          <w:lang w:val="pl-PL" w:eastAsia="hr-HR"/>
        </w:rPr>
        <w:t>6</w:t>
      </w:r>
      <w:r w:rsidRPr="009E0336">
        <w:rPr>
          <w:rFonts w:ascii="Times New Roman" w:eastAsia="Symbol" w:hAnsi="Times New Roman" w:cs="Times New Roman"/>
          <w:kern w:val="0"/>
          <w:sz w:val="20"/>
          <w:szCs w:val="20"/>
          <w:lang w:val="pl-PL" w:eastAsia="hr-HR"/>
        </w:rPr>
        <w:t xml:space="preserve">.g. iznosi </w:t>
      </w:r>
      <w:r w:rsidR="00DC5FED" w:rsidRPr="009E0336">
        <w:rPr>
          <w:rFonts w:ascii="Times New Roman" w:eastAsia="Symbol" w:hAnsi="Times New Roman" w:cs="Times New Roman"/>
          <w:kern w:val="0"/>
          <w:sz w:val="20"/>
          <w:szCs w:val="20"/>
          <w:lang w:val="pl-PL" w:eastAsia="hr-HR"/>
        </w:rPr>
        <w:t>361</w:t>
      </w:r>
      <w:r w:rsidRPr="009E0336">
        <w:rPr>
          <w:rFonts w:ascii="Times New Roman" w:eastAsia="Symbol" w:hAnsi="Times New Roman" w:cs="Times New Roman"/>
          <w:kern w:val="0"/>
          <w:sz w:val="20"/>
          <w:szCs w:val="20"/>
          <w:lang w:val="pl-PL" w:eastAsia="hr-HR"/>
        </w:rPr>
        <w:t xml:space="preserve">.000,00 </w:t>
      </w:r>
      <w:r w:rsidR="00DC5FED" w:rsidRPr="009E0336">
        <w:rPr>
          <w:rFonts w:ascii="Times New Roman" w:eastAsia="Symbol" w:hAnsi="Times New Roman" w:cs="Times New Roman"/>
          <w:kern w:val="0"/>
          <w:sz w:val="20"/>
          <w:szCs w:val="20"/>
          <w:lang w:val="pl-PL" w:eastAsia="hr-HR"/>
        </w:rPr>
        <w:t xml:space="preserve">€ </w:t>
      </w:r>
      <w:r w:rsidRPr="009E0336">
        <w:rPr>
          <w:rFonts w:ascii="Times New Roman" w:eastAsia="Symbol" w:hAnsi="Times New Roman" w:cs="Times New Roman"/>
          <w:kern w:val="0"/>
          <w:sz w:val="20"/>
          <w:szCs w:val="20"/>
          <w:lang w:val="pl-PL" w:eastAsia="hr-HR"/>
        </w:rPr>
        <w:t xml:space="preserve">što je </w:t>
      </w:r>
      <w:r w:rsidR="00DC5FED" w:rsidRPr="009E0336">
        <w:rPr>
          <w:rFonts w:ascii="Times New Roman" w:eastAsia="Symbol" w:hAnsi="Times New Roman" w:cs="Times New Roman"/>
          <w:kern w:val="0"/>
          <w:sz w:val="20"/>
          <w:szCs w:val="20"/>
          <w:lang w:val="pl-PL" w:eastAsia="hr-HR"/>
        </w:rPr>
        <w:t>11</w:t>
      </w:r>
      <w:r w:rsidRPr="009E0336">
        <w:rPr>
          <w:rFonts w:ascii="Times New Roman" w:eastAsia="Symbol" w:hAnsi="Times New Roman" w:cs="Times New Roman"/>
          <w:kern w:val="0"/>
          <w:sz w:val="20"/>
          <w:szCs w:val="20"/>
          <w:lang w:val="pl-PL" w:eastAsia="hr-HR"/>
        </w:rPr>
        <w:t xml:space="preserve">.000,00 </w:t>
      </w:r>
      <w:r w:rsidR="00DC5FED" w:rsidRPr="009E0336">
        <w:rPr>
          <w:rFonts w:ascii="Times New Roman" w:eastAsia="Symbol" w:hAnsi="Times New Roman" w:cs="Times New Roman"/>
          <w:kern w:val="0"/>
          <w:sz w:val="20"/>
          <w:szCs w:val="20"/>
          <w:lang w:val="pl-PL" w:eastAsia="hr-HR"/>
        </w:rPr>
        <w:t xml:space="preserve">€ </w:t>
      </w:r>
      <w:r w:rsidRPr="009E0336">
        <w:rPr>
          <w:rFonts w:ascii="Times New Roman" w:eastAsia="Symbol" w:hAnsi="Times New Roman" w:cs="Times New Roman"/>
          <w:kern w:val="0"/>
          <w:sz w:val="20"/>
          <w:szCs w:val="20"/>
          <w:lang w:val="pl-PL" w:eastAsia="hr-HR"/>
        </w:rPr>
        <w:t xml:space="preserve">ili </w:t>
      </w:r>
      <w:r w:rsidR="00DC5FED" w:rsidRPr="009E0336">
        <w:rPr>
          <w:rFonts w:ascii="Times New Roman" w:eastAsia="Symbol" w:hAnsi="Times New Roman" w:cs="Times New Roman"/>
          <w:kern w:val="0"/>
          <w:sz w:val="20"/>
          <w:szCs w:val="20"/>
          <w:lang w:val="pl-PL" w:eastAsia="hr-HR"/>
        </w:rPr>
        <w:t>3,1</w:t>
      </w:r>
      <w:r w:rsidRPr="009E0336">
        <w:rPr>
          <w:rFonts w:ascii="Times New Roman" w:eastAsia="Symbol" w:hAnsi="Times New Roman" w:cs="Times New Roman"/>
          <w:kern w:val="0"/>
          <w:sz w:val="20"/>
          <w:szCs w:val="20"/>
          <w:lang w:val="pl-PL" w:eastAsia="hr-HR"/>
        </w:rPr>
        <w:t xml:space="preserve"> % više nego u 202</w:t>
      </w:r>
      <w:r w:rsidR="00DC5FED" w:rsidRPr="009E0336">
        <w:rPr>
          <w:rFonts w:ascii="Times New Roman" w:eastAsia="Symbol" w:hAnsi="Times New Roman" w:cs="Times New Roman"/>
          <w:kern w:val="0"/>
          <w:sz w:val="20"/>
          <w:szCs w:val="20"/>
          <w:lang w:val="pl-PL" w:eastAsia="hr-HR"/>
        </w:rPr>
        <w:t>5</w:t>
      </w:r>
      <w:r w:rsidRPr="009E0336">
        <w:rPr>
          <w:rFonts w:ascii="Times New Roman" w:eastAsia="Symbol" w:hAnsi="Times New Roman" w:cs="Times New Roman"/>
          <w:kern w:val="0"/>
          <w:sz w:val="20"/>
          <w:szCs w:val="20"/>
          <w:lang w:val="pl-PL" w:eastAsia="hr-HR"/>
        </w:rPr>
        <w:t>.g. dok za 202</w:t>
      </w:r>
      <w:r w:rsidR="00DC5FED" w:rsidRPr="009E0336">
        <w:rPr>
          <w:rFonts w:ascii="Times New Roman" w:eastAsia="Symbol" w:hAnsi="Times New Roman" w:cs="Times New Roman"/>
          <w:kern w:val="0"/>
          <w:sz w:val="20"/>
          <w:szCs w:val="20"/>
          <w:lang w:val="pl-PL" w:eastAsia="hr-HR"/>
        </w:rPr>
        <w:t>7</w:t>
      </w:r>
      <w:r w:rsidRPr="009E0336">
        <w:rPr>
          <w:rFonts w:ascii="Times New Roman" w:eastAsia="Symbol" w:hAnsi="Times New Roman" w:cs="Times New Roman"/>
          <w:kern w:val="0"/>
          <w:sz w:val="20"/>
          <w:szCs w:val="20"/>
          <w:lang w:val="pl-PL" w:eastAsia="hr-HR"/>
        </w:rPr>
        <w:t xml:space="preserve">.g. projekcija iznosi </w:t>
      </w:r>
      <w:r w:rsidR="00DC5FED" w:rsidRPr="009E0336">
        <w:rPr>
          <w:rFonts w:ascii="Times New Roman" w:eastAsia="Symbol" w:hAnsi="Times New Roman" w:cs="Times New Roman"/>
          <w:kern w:val="0"/>
          <w:sz w:val="20"/>
          <w:szCs w:val="20"/>
          <w:lang w:val="pl-PL" w:eastAsia="hr-HR"/>
        </w:rPr>
        <w:t>373</w:t>
      </w:r>
      <w:r w:rsidRPr="009E0336">
        <w:rPr>
          <w:rFonts w:ascii="Times New Roman" w:eastAsia="Symbol" w:hAnsi="Times New Roman" w:cs="Times New Roman"/>
          <w:kern w:val="0"/>
          <w:sz w:val="20"/>
          <w:szCs w:val="20"/>
          <w:lang w:val="pl-PL" w:eastAsia="hr-HR"/>
        </w:rPr>
        <w:t xml:space="preserve">.000,00 </w:t>
      </w:r>
      <w:r w:rsidR="00DC5FED" w:rsidRPr="009E0336">
        <w:rPr>
          <w:rFonts w:ascii="Times New Roman" w:eastAsia="Symbol" w:hAnsi="Times New Roman" w:cs="Times New Roman"/>
          <w:kern w:val="0"/>
          <w:sz w:val="20"/>
          <w:szCs w:val="20"/>
          <w:lang w:val="pl-PL" w:eastAsia="hr-HR"/>
        </w:rPr>
        <w:t>€</w:t>
      </w:r>
      <w:r w:rsidRPr="009E0336">
        <w:rPr>
          <w:rFonts w:ascii="Times New Roman" w:eastAsia="Symbol" w:hAnsi="Times New Roman" w:cs="Times New Roman"/>
          <w:kern w:val="0"/>
          <w:sz w:val="20"/>
          <w:szCs w:val="20"/>
          <w:lang w:val="pl-PL" w:eastAsia="hr-HR"/>
        </w:rPr>
        <w:t xml:space="preserve"> što je 1</w:t>
      </w:r>
      <w:r w:rsidR="00DC5FED" w:rsidRPr="009E0336">
        <w:rPr>
          <w:rFonts w:ascii="Times New Roman" w:eastAsia="Symbol" w:hAnsi="Times New Roman" w:cs="Times New Roman"/>
          <w:kern w:val="0"/>
          <w:sz w:val="20"/>
          <w:szCs w:val="20"/>
          <w:lang w:val="pl-PL" w:eastAsia="hr-HR"/>
        </w:rPr>
        <w:t>2</w:t>
      </w:r>
      <w:r w:rsidRPr="009E0336">
        <w:rPr>
          <w:rFonts w:ascii="Times New Roman" w:eastAsia="Symbol" w:hAnsi="Times New Roman" w:cs="Times New Roman"/>
          <w:kern w:val="0"/>
          <w:sz w:val="20"/>
          <w:szCs w:val="20"/>
          <w:lang w:val="pl-PL" w:eastAsia="hr-HR"/>
        </w:rPr>
        <w:t xml:space="preserve">.000,00 eura ili </w:t>
      </w:r>
      <w:r w:rsidR="00DC5FED" w:rsidRPr="009E0336">
        <w:rPr>
          <w:rFonts w:ascii="Times New Roman" w:eastAsia="Symbol" w:hAnsi="Times New Roman" w:cs="Times New Roman"/>
          <w:kern w:val="0"/>
          <w:sz w:val="20"/>
          <w:szCs w:val="20"/>
          <w:lang w:val="pl-PL" w:eastAsia="hr-HR"/>
        </w:rPr>
        <w:t>3,3</w:t>
      </w:r>
      <w:r w:rsidRPr="009E0336">
        <w:rPr>
          <w:rFonts w:ascii="Times New Roman" w:eastAsia="Symbol" w:hAnsi="Times New Roman" w:cs="Times New Roman"/>
          <w:kern w:val="0"/>
          <w:sz w:val="20"/>
          <w:szCs w:val="20"/>
          <w:lang w:val="pl-PL" w:eastAsia="hr-HR"/>
        </w:rPr>
        <w:t xml:space="preserve"> % više nego u 2025.g.</w:t>
      </w:r>
    </w:p>
    <w:p w14:paraId="4346CE2A" w14:textId="77777777" w:rsidR="005747F4" w:rsidRPr="009E0336" w:rsidRDefault="005747F4" w:rsidP="005747F4">
      <w:pPr>
        <w:widowControl/>
        <w:suppressAutoHyphens w:val="0"/>
        <w:autoSpaceDN/>
        <w:spacing w:after="0" w:line="240" w:lineRule="auto"/>
        <w:jc w:val="both"/>
        <w:rPr>
          <w:rFonts w:ascii="Times New Roman" w:eastAsia="Symbol" w:hAnsi="Times New Roman" w:cs="Times New Roman"/>
          <w:kern w:val="0"/>
          <w:sz w:val="20"/>
          <w:szCs w:val="20"/>
          <w:lang w:val="pl-PL" w:eastAsia="hr-HR"/>
        </w:rPr>
      </w:pPr>
      <w:r w:rsidRPr="009E0336">
        <w:rPr>
          <w:rFonts w:ascii="Times New Roman" w:eastAsia="Symbol" w:hAnsi="Times New Roman" w:cs="Times New Roman"/>
          <w:kern w:val="0"/>
          <w:sz w:val="20"/>
          <w:szCs w:val="20"/>
          <w:lang w:val="pl-PL" w:eastAsia="hr-HR"/>
        </w:rPr>
        <w:t>Prihodi iz nadležnog proračuna i od HZZO-a temeljem ugovornih obveza (skupina 67) – odnosi se na prihod iz matičnih sredstava Proračuna SDŽ i iz decentraliziranih sredstava za financiranje rashoda poslovanja i rashoda za nabavu nefinancijske imovine te prihod od HZZO-a za financiranje rashoda poslovanja.</w:t>
      </w:r>
    </w:p>
    <w:p w14:paraId="0E5FFC86" w14:textId="4A7A86CB" w:rsidR="005747F4" w:rsidRPr="009E0336" w:rsidRDefault="005747F4" w:rsidP="005747F4">
      <w:pPr>
        <w:pStyle w:val="Standard"/>
        <w:jc w:val="both"/>
        <w:rPr>
          <w:rFonts w:eastAsia="Symbol"/>
          <w:kern w:val="0"/>
          <w:sz w:val="20"/>
          <w:szCs w:val="20"/>
          <w:lang w:val="pl-PL"/>
        </w:rPr>
      </w:pPr>
      <w:r w:rsidRPr="009E0336">
        <w:rPr>
          <w:rFonts w:eastAsia="Symbol"/>
          <w:kern w:val="0"/>
          <w:sz w:val="20"/>
          <w:szCs w:val="20"/>
          <w:lang w:val="pl-PL"/>
        </w:rPr>
        <w:t>Prihod iz matičnih sredstava Proračuna SDŽ (izvor Opći prihodi i primici) u 202</w:t>
      </w:r>
      <w:r w:rsidR="00DC5FED" w:rsidRPr="009E0336">
        <w:rPr>
          <w:rFonts w:eastAsia="Symbol"/>
          <w:kern w:val="0"/>
          <w:sz w:val="20"/>
          <w:szCs w:val="20"/>
          <w:lang w:val="pl-PL"/>
        </w:rPr>
        <w:t>5</w:t>
      </w:r>
      <w:r w:rsidRPr="009E0336">
        <w:rPr>
          <w:rFonts w:eastAsia="Symbol"/>
          <w:kern w:val="0"/>
          <w:sz w:val="20"/>
          <w:szCs w:val="20"/>
          <w:lang w:val="pl-PL"/>
        </w:rPr>
        <w:t xml:space="preserve">.g. planira se u </w:t>
      </w:r>
      <w:r w:rsidR="00EB69F7" w:rsidRPr="009E0336">
        <w:rPr>
          <w:rFonts w:eastAsia="Symbol"/>
          <w:kern w:val="0"/>
          <w:sz w:val="20"/>
          <w:szCs w:val="20"/>
          <w:lang w:val="pl-PL"/>
        </w:rPr>
        <w:t xml:space="preserve">istom iznosu kao i Rebalansu br. I u 2024.g. odnosno u </w:t>
      </w:r>
      <w:r w:rsidRPr="009E0336">
        <w:rPr>
          <w:rFonts w:eastAsia="Symbol"/>
          <w:kern w:val="0"/>
          <w:sz w:val="20"/>
          <w:szCs w:val="20"/>
          <w:lang w:val="pl-PL"/>
        </w:rPr>
        <w:t>iznosu od 1.</w:t>
      </w:r>
      <w:r w:rsidR="00CA75B2" w:rsidRPr="009E0336">
        <w:rPr>
          <w:rFonts w:eastAsia="Symbol"/>
          <w:kern w:val="0"/>
          <w:sz w:val="20"/>
          <w:szCs w:val="20"/>
          <w:lang w:val="pl-PL"/>
        </w:rPr>
        <w:t>963.995,94</w:t>
      </w:r>
      <w:r w:rsidRPr="009E0336">
        <w:rPr>
          <w:rFonts w:eastAsia="Symbol"/>
          <w:kern w:val="0"/>
          <w:sz w:val="20"/>
          <w:szCs w:val="20"/>
          <w:lang w:val="pl-PL"/>
        </w:rPr>
        <w:t xml:space="preserve"> </w:t>
      </w:r>
      <w:r w:rsidR="00CA75B2" w:rsidRPr="009E0336">
        <w:rPr>
          <w:rFonts w:eastAsia="Symbol"/>
          <w:kern w:val="0"/>
          <w:sz w:val="20"/>
          <w:szCs w:val="20"/>
          <w:lang w:val="pl-PL"/>
        </w:rPr>
        <w:t>€</w:t>
      </w:r>
      <w:r w:rsidR="00EB69F7" w:rsidRPr="009E0336">
        <w:rPr>
          <w:rFonts w:eastAsia="Symbol"/>
          <w:kern w:val="0"/>
          <w:sz w:val="20"/>
          <w:szCs w:val="20"/>
          <w:lang w:val="pl-PL"/>
        </w:rPr>
        <w:t xml:space="preserve">, a </w:t>
      </w:r>
      <w:r w:rsidRPr="009E0336">
        <w:rPr>
          <w:rFonts w:eastAsia="Symbol"/>
          <w:kern w:val="0"/>
          <w:sz w:val="20"/>
          <w:szCs w:val="20"/>
          <w:lang w:val="pl-PL"/>
        </w:rPr>
        <w:t xml:space="preserve">što je </w:t>
      </w:r>
      <w:r w:rsidR="00EB69F7" w:rsidRPr="009E0336">
        <w:rPr>
          <w:rFonts w:eastAsia="Symbol"/>
          <w:kern w:val="0"/>
          <w:sz w:val="20"/>
          <w:szCs w:val="20"/>
          <w:lang w:val="pl-PL"/>
        </w:rPr>
        <w:t>635.195,11 €</w:t>
      </w:r>
      <w:r w:rsidRPr="009E0336">
        <w:rPr>
          <w:rFonts w:eastAsia="Symbol"/>
          <w:kern w:val="0"/>
          <w:sz w:val="20"/>
          <w:szCs w:val="20"/>
          <w:lang w:val="pl-PL"/>
        </w:rPr>
        <w:t xml:space="preserve"> ili </w:t>
      </w:r>
      <w:r w:rsidR="00EB69F7" w:rsidRPr="009E0336">
        <w:rPr>
          <w:rFonts w:eastAsia="Symbol"/>
          <w:kern w:val="0"/>
          <w:sz w:val="20"/>
          <w:szCs w:val="20"/>
          <w:lang w:val="pl-PL"/>
        </w:rPr>
        <w:t>47,8</w:t>
      </w:r>
      <w:r w:rsidRPr="009E0336">
        <w:rPr>
          <w:rFonts w:eastAsia="Symbol"/>
          <w:kern w:val="0"/>
          <w:sz w:val="20"/>
          <w:szCs w:val="20"/>
          <w:lang w:val="pl-PL"/>
        </w:rPr>
        <w:t xml:space="preserve"> % više od ostvarenja u 202</w:t>
      </w:r>
      <w:r w:rsidR="00EB69F7" w:rsidRPr="009E0336">
        <w:rPr>
          <w:rFonts w:eastAsia="Symbol"/>
          <w:kern w:val="0"/>
          <w:sz w:val="20"/>
          <w:szCs w:val="20"/>
          <w:lang w:val="pl-PL"/>
        </w:rPr>
        <w:t>3</w:t>
      </w:r>
      <w:r w:rsidRPr="009E0336">
        <w:rPr>
          <w:rFonts w:eastAsia="Symbol"/>
          <w:kern w:val="0"/>
          <w:sz w:val="20"/>
          <w:szCs w:val="20"/>
          <w:lang w:val="pl-PL"/>
        </w:rPr>
        <w:t xml:space="preserve">.g. </w:t>
      </w:r>
      <w:r w:rsidR="001B2352" w:rsidRPr="009E0336">
        <w:rPr>
          <w:rFonts w:eastAsia="Symbol"/>
          <w:kern w:val="0"/>
          <w:sz w:val="20"/>
          <w:szCs w:val="20"/>
          <w:lang w:val="pl-PL"/>
        </w:rPr>
        <w:t>U 2025.g. i</w:t>
      </w:r>
      <w:r w:rsidR="00EB69F7" w:rsidRPr="009E0336">
        <w:rPr>
          <w:rFonts w:eastAsia="Symbol"/>
          <w:kern w:val="0"/>
          <w:sz w:val="20"/>
          <w:szCs w:val="20"/>
          <w:lang w:val="pl-PL"/>
        </w:rPr>
        <w:t xml:space="preserve">z matičnih sredstava Proračuna SDŽ planira se </w:t>
      </w:r>
      <w:r w:rsidR="001B2352" w:rsidRPr="009E0336">
        <w:rPr>
          <w:rFonts w:eastAsia="Symbol"/>
          <w:kern w:val="0"/>
          <w:sz w:val="20"/>
          <w:szCs w:val="20"/>
          <w:lang w:val="pl-PL"/>
        </w:rPr>
        <w:t xml:space="preserve">financiranje </w:t>
      </w:r>
      <w:r w:rsidR="001B2352" w:rsidRPr="009E0336">
        <w:rPr>
          <w:iCs/>
          <w:sz w:val="20"/>
          <w:szCs w:val="20"/>
        </w:rPr>
        <w:t>rada medicinskih sestara/tehničara u ambulanti u Splitu i Kaštelima, sufinanciranje punktova pripravnosti (</w:t>
      </w:r>
      <w:proofErr w:type="spellStart"/>
      <w:r w:rsidR="001B2352" w:rsidRPr="009E0336">
        <w:rPr>
          <w:iCs/>
          <w:sz w:val="20"/>
          <w:szCs w:val="20"/>
        </w:rPr>
        <w:t>nadstandard</w:t>
      </w:r>
      <w:proofErr w:type="spellEnd"/>
      <w:r w:rsidR="001B2352" w:rsidRPr="009E0336">
        <w:rPr>
          <w:iCs/>
          <w:sz w:val="20"/>
          <w:szCs w:val="20"/>
        </w:rPr>
        <w:t xml:space="preserve">), te financiranje nabave opreme i vozila propisane novim </w:t>
      </w:r>
      <w:r w:rsidR="001B2352" w:rsidRPr="009E0336">
        <w:rPr>
          <w:rFonts w:eastAsia="Symbol"/>
          <w:sz w:val="20"/>
          <w:szCs w:val="20"/>
          <w:lang w:val="pl-PL"/>
        </w:rPr>
        <w:t>Pravilnikom o standardima i normativima u pogledu prostora, radnika i medicinsko-tehničke opreme za obavljanje djelatnosti hitne medicine i djelatnosti sanitetskog prijevoza</w:t>
      </w:r>
      <w:r w:rsidR="001B2352" w:rsidRPr="009E0336">
        <w:rPr>
          <w:iCs/>
          <w:sz w:val="20"/>
          <w:szCs w:val="20"/>
        </w:rPr>
        <w:t xml:space="preserve"> i usklađenja s proširenom Mrežom hitne medicine i sanitetskog prijevoza.</w:t>
      </w:r>
      <w:r w:rsidR="00C87DA7" w:rsidRPr="009E0336">
        <w:rPr>
          <w:iCs/>
          <w:sz w:val="20"/>
          <w:szCs w:val="20"/>
        </w:rPr>
        <w:t xml:space="preserve"> </w:t>
      </w:r>
      <w:r w:rsidRPr="009E0336">
        <w:rPr>
          <w:rFonts w:eastAsia="Symbol"/>
          <w:kern w:val="0"/>
          <w:sz w:val="20"/>
          <w:szCs w:val="20"/>
          <w:lang w:val="pl-PL"/>
        </w:rPr>
        <w:t>U projekcijama za 202</w:t>
      </w:r>
      <w:r w:rsidR="001B2352" w:rsidRPr="009E0336">
        <w:rPr>
          <w:rFonts w:eastAsia="Symbol"/>
          <w:kern w:val="0"/>
          <w:sz w:val="20"/>
          <w:szCs w:val="20"/>
          <w:lang w:val="pl-PL"/>
        </w:rPr>
        <w:t>6</w:t>
      </w:r>
      <w:r w:rsidRPr="009E0336">
        <w:rPr>
          <w:rFonts w:eastAsia="Symbol"/>
          <w:kern w:val="0"/>
          <w:sz w:val="20"/>
          <w:szCs w:val="20"/>
          <w:lang w:val="pl-PL"/>
        </w:rPr>
        <w:t>.g. i 202</w:t>
      </w:r>
      <w:r w:rsidR="001B2352" w:rsidRPr="009E0336">
        <w:rPr>
          <w:rFonts w:eastAsia="Symbol"/>
          <w:kern w:val="0"/>
          <w:sz w:val="20"/>
          <w:szCs w:val="20"/>
          <w:lang w:val="pl-PL"/>
        </w:rPr>
        <w:t>7</w:t>
      </w:r>
      <w:r w:rsidRPr="009E0336">
        <w:rPr>
          <w:rFonts w:eastAsia="Symbol"/>
          <w:kern w:val="0"/>
          <w:sz w:val="20"/>
          <w:szCs w:val="20"/>
          <w:lang w:val="pl-PL"/>
        </w:rPr>
        <w:t xml:space="preserve">.g. planira se svake godine po </w:t>
      </w:r>
      <w:r w:rsidR="001B2352" w:rsidRPr="009E0336">
        <w:rPr>
          <w:rFonts w:eastAsia="Symbol"/>
          <w:kern w:val="0"/>
          <w:sz w:val="20"/>
          <w:szCs w:val="20"/>
          <w:lang w:val="pl-PL"/>
        </w:rPr>
        <w:t>2.353.632,00</w:t>
      </w:r>
      <w:r w:rsidRPr="009E0336">
        <w:rPr>
          <w:rFonts w:eastAsia="Symbol"/>
          <w:kern w:val="0"/>
          <w:sz w:val="20"/>
          <w:szCs w:val="20"/>
          <w:lang w:val="pl-PL"/>
        </w:rPr>
        <w:t xml:space="preserve"> eura što je </w:t>
      </w:r>
      <w:r w:rsidR="001B2352" w:rsidRPr="009E0336">
        <w:rPr>
          <w:rFonts w:eastAsia="Symbol"/>
          <w:kern w:val="0"/>
          <w:sz w:val="20"/>
          <w:szCs w:val="20"/>
          <w:lang w:val="pl-PL"/>
        </w:rPr>
        <w:t>389.636,06 €</w:t>
      </w:r>
      <w:r w:rsidRPr="009E0336">
        <w:rPr>
          <w:rFonts w:eastAsia="Symbol"/>
          <w:kern w:val="0"/>
          <w:sz w:val="20"/>
          <w:szCs w:val="20"/>
          <w:lang w:val="pl-PL"/>
        </w:rPr>
        <w:t xml:space="preserve"> ili </w:t>
      </w:r>
      <w:r w:rsidR="00F61CC1" w:rsidRPr="009E0336">
        <w:rPr>
          <w:rFonts w:eastAsia="Symbol"/>
          <w:kern w:val="0"/>
          <w:sz w:val="20"/>
          <w:szCs w:val="20"/>
          <w:lang w:val="pl-PL"/>
        </w:rPr>
        <w:t xml:space="preserve">19,8 </w:t>
      </w:r>
      <w:r w:rsidRPr="009E0336">
        <w:rPr>
          <w:rFonts w:eastAsia="Symbol"/>
          <w:kern w:val="0"/>
          <w:sz w:val="20"/>
          <w:szCs w:val="20"/>
          <w:lang w:val="pl-PL"/>
        </w:rPr>
        <w:t xml:space="preserve">% </w:t>
      </w:r>
      <w:r w:rsidR="00F61CC1" w:rsidRPr="009E0336">
        <w:rPr>
          <w:rFonts w:eastAsia="Symbol"/>
          <w:kern w:val="0"/>
          <w:sz w:val="20"/>
          <w:szCs w:val="20"/>
          <w:lang w:val="pl-PL"/>
        </w:rPr>
        <w:t xml:space="preserve">više </w:t>
      </w:r>
      <w:r w:rsidRPr="009E0336">
        <w:rPr>
          <w:rFonts w:eastAsia="Symbol"/>
          <w:kern w:val="0"/>
          <w:sz w:val="20"/>
          <w:szCs w:val="20"/>
          <w:lang w:val="pl-PL"/>
        </w:rPr>
        <w:t>od planiranog u 202</w:t>
      </w:r>
      <w:r w:rsidR="00F61CC1" w:rsidRPr="009E0336">
        <w:rPr>
          <w:rFonts w:eastAsia="Symbol"/>
          <w:kern w:val="0"/>
          <w:sz w:val="20"/>
          <w:szCs w:val="20"/>
          <w:lang w:val="pl-PL"/>
        </w:rPr>
        <w:t>5</w:t>
      </w:r>
      <w:r w:rsidRPr="009E0336">
        <w:rPr>
          <w:rFonts w:eastAsia="Symbol"/>
          <w:kern w:val="0"/>
          <w:sz w:val="20"/>
          <w:szCs w:val="20"/>
          <w:lang w:val="pl-PL"/>
        </w:rPr>
        <w:t xml:space="preserve">.g. </w:t>
      </w:r>
      <w:r w:rsidR="00C87DA7" w:rsidRPr="009E0336">
        <w:rPr>
          <w:rFonts w:eastAsia="Symbol"/>
          <w:kern w:val="0"/>
          <w:sz w:val="20"/>
          <w:szCs w:val="20"/>
          <w:lang w:val="pl-PL"/>
        </w:rPr>
        <w:t>kako bi se nastavilo daljnje usklađenje s novim standardima i normativima i kontinuirano obnavljao vozni park za hitnu medicinu i sanitetski prijevoz.</w:t>
      </w:r>
    </w:p>
    <w:p w14:paraId="3E34AAE9" w14:textId="7D9D6E23" w:rsidR="00C87DA7" w:rsidRPr="009E0336" w:rsidRDefault="005747F4" w:rsidP="005747F4">
      <w:pPr>
        <w:pStyle w:val="Standard"/>
        <w:jc w:val="both"/>
        <w:rPr>
          <w:rFonts w:eastAsia="Symbol"/>
          <w:kern w:val="0"/>
          <w:sz w:val="20"/>
          <w:szCs w:val="20"/>
          <w:lang w:val="pl-PL"/>
        </w:rPr>
      </w:pPr>
      <w:r w:rsidRPr="009E0336">
        <w:rPr>
          <w:rFonts w:eastAsia="Symbol"/>
          <w:kern w:val="0"/>
          <w:sz w:val="20"/>
          <w:szCs w:val="20"/>
          <w:lang w:val="pl-PL"/>
        </w:rPr>
        <w:t>Izvor Prihodi za posebne namjene (decentralizacija) u 202</w:t>
      </w:r>
      <w:r w:rsidR="00C87DA7" w:rsidRPr="009E0336">
        <w:rPr>
          <w:rFonts w:eastAsia="Symbol"/>
          <w:kern w:val="0"/>
          <w:sz w:val="20"/>
          <w:szCs w:val="20"/>
          <w:lang w:val="pl-PL"/>
        </w:rPr>
        <w:t>5</w:t>
      </w:r>
      <w:r w:rsidRPr="009E0336">
        <w:rPr>
          <w:rFonts w:eastAsia="Symbol"/>
          <w:kern w:val="0"/>
          <w:sz w:val="20"/>
          <w:szCs w:val="20"/>
          <w:lang w:val="pl-PL"/>
        </w:rPr>
        <w:t>.g.</w:t>
      </w:r>
      <w:r w:rsidR="00C87DA7" w:rsidRPr="009E0336">
        <w:rPr>
          <w:rFonts w:eastAsia="Symbol"/>
          <w:kern w:val="0"/>
          <w:sz w:val="20"/>
          <w:szCs w:val="20"/>
          <w:lang w:val="pl-PL"/>
        </w:rPr>
        <w:t xml:space="preserve">, te u projekcijama za 2026.g. i 2027.g. </w:t>
      </w:r>
      <w:r w:rsidRPr="009E0336">
        <w:rPr>
          <w:rFonts w:eastAsia="Symbol"/>
          <w:kern w:val="0"/>
          <w:sz w:val="20"/>
          <w:szCs w:val="20"/>
          <w:lang w:val="pl-PL"/>
        </w:rPr>
        <w:t xml:space="preserve"> planiraj</w:t>
      </w:r>
      <w:r w:rsidR="00C87DA7" w:rsidRPr="009E0336">
        <w:rPr>
          <w:rFonts w:eastAsia="Symbol"/>
          <w:kern w:val="0"/>
          <w:sz w:val="20"/>
          <w:szCs w:val="20"/>
          <w:lang w:val="pl-PL"/>
        </w:rPr>
        <w:t>u</w:t>
      </w:r>
      <w:r w:rsidRPr="009E0336">
        <w:rPr>
          <w:rFonts w:eastAsia="Symbol"/>
          <w:kern w:val="0"/>
          <w:sz w:val="20"/>
          <w:szCs w:val="20"/>
          <w:lang w:val="pl-PL"/>
        </w:rPr>
        <w:t xml:space="preserve"> se u iznosu od 1.742.36</w:t>
      </w:r>
      <w:r w:rsidR="00C87DA7" w:rsidRPr="009E0336">
        <w:rPr>
          <w:rFonts w:eastAsia="Symbol"/>
          <w:kern w:val="0"/>
          <w:sz w:val="20"/>
          <w:szCs w:val="20"/>
          <w:lang w:val="pl-PL"/>
        </w:rPr>
        <w:t>8,00 €</w:t>
      </w:r>
      <w:r w:rsidRPr="009E0336">
        <w:rPr>
          <w:rFonts w:eastAsia="Symbol"/>
          <w:kern w:val="0"/>
          <w:sz w:val="20"/>
          <w:szCs w:val="20"/>
          <w:lang w:val="pl-PL"/>
        </w:rPr>
        <w:t xml:space="preserve"> što</w:t>
      </w:r>
      <w:r w:rsidR="00C87DA7" w:rsidRPr="009E0336">
        <w:rPr>
          <w:rFonts w:eastAsia="Symbol"/>
          <w:kern w:val="0"/>
          <w:sz w:val="20"/>
          <w:szCs w:val="20"/>
          <w:lang w:val="pl-PL"/>
        </w:rPr>
        <w:t xml:space="preserve"> je</w:t>
      </w:r>
      <w:r w:rsidRPr="009E0336">
        <w:rPr>
          <w:rFonts w:eastAsia="Symbol"/>
          <w:kern w:val="0"/>
          <w:sz w:val="20"/>
          <w:szCs w:val="20"/>
          <w:lang w:val="pl-PL"/>
        </w:rPr>
        <w:t xml:space="preserve"> </w:t>
      </w:r>
      <w:r w:rsidR="00C87DA7" w:rsidRPr="009E0336">
        <w:rPr>
          <w:rFonts w:eastAsia="Symbol"/>
          <w:kern w:val="0"/>
          <w:sz w:val="20"/>
          <w:szCs w:val="20"/>
          <w:lang w:val="pl-PL"/>
        </w:rPr>
        <w:t xml:space="preserve">isti iznos kao i u Rebalansu br. I u 2024.g., a što je </w:t>
      </w:r>
      <w:r w:rsidRPr="009E0336">
        <w:rPr>
          <w:rFonts w:eastAsia="Symbol"/>
          <w:kern w:val="0"/>
          <w:sz w:val="20"/>
          <w:szCs w:val="20"/>
          <w:lang w:val="pl-PL"/>
        </w:rPr>
        <w:t xml:space="preserve"> 86.06</w:t>
      </w:r>
      <w:r w:rsidR="00C87DA7" w:rsidRPr="009E0336">
        <w:rPr>
          <w:rFonts w:eastAsia="Symbol"/>
          <w:kern w:val="0"/>
          <w:sz w:val="20"/>
          <w:szCs w:val="20"/>
          <w:lang w:val="pl-PL"/>
        </w:rPr>
        <w:t>4,21 €</w:t>
      </w:r>
      <w:r w:rsidRPr="009E0336">
        <w:rPr>
          <w:rFonts w:eastAsia="Symbol"/>
          <w:kern w:val="0"/>
          <w:sz w:val="20"/>
          <w:szCs w:val="20"/>
          <w:lang w:val="pl-PL"/>
        </w:rPr>
        <w:t xml:space="preserve"> ili </w:t>
      </w:r>
      <w:r w:rsidR="00C87DA7" w:rsidRPr="009E0336">
        <w:rPr>
          <w:rFonts w:eastAsia="Symbol"/>
          <w:kern w:val="0"/>
          <w:sz w:val="20"/>
          <w:szCs w:val="20"/>
          <w:lang w:val="pl-PL"/>
        </w:rPr>
        <w:t xml:space="preserve">5,2 </w:t>
      </w:r>
      <w:r w:rsidRPr="009E0336">
        <w:rPr>
          <w:rFonts w:eastAsia="Symbol"/>
          <w:kern w:val="0"/>
          <w:sz w:val="20"/>
          <w:szCs w:val="20"/>
          <w:lang w:val="pl-PL"/>
        </w:rPr>
        <w:t xml:space="preserve">% više nego je </w:t>
      </w:r>
      <w:r w:rsidR="00C87DA7" w:rsidRPr="009E0336">
        <w:rPr>
          <w:rFonts w:eastAsia="Symbol"/>
          <w:kern w:val="0"/>
          <w:sz w:val="20"/>
          <w:szCs w:val="20"/>
          <w:lang w:val="pl-PL"/>
        </w:rPr>
        <w:t xml:space="preserve">ostvareno </w:t>
      </w:r>
      <w:r w:rsidRPr="009E0336">
        <w:rPr>
          <w:rFonts w:eastAsia="Symbol"/>
          <w:kern w:val="0"/>
          <w:sz w:val="20"/>
          <w:szCs w:val="20"/>
          <w:lang w:val="pl-PL"/>
        </w:rPr>
        <w:t>u 2023.g.</w:t>
      </w:r>
    </w:p>
    <w:p w14:paraId="471D3E34" w14:textId="77777777" w:rsidR="00C87DA7" w:rsidRPr="009E0336" w:rsidRDefault="005747F4" w:rsidP="005747F4">
      <w:pPr>
        <w:spacing w:line="240" w:lineRule="auto"/>
        <w:jc w:val="both"/>
        <w:rPr>
          <w:rFonts w:ascii="Times New Roman" w:eastAsia="Symbol" w:hAnsi="Times New Roman" w:cs="Times New Roman"/>
          <w:kern w:val="0"/>
          <w:sz w:val="20"/>
          <w:szCs w:val="20"/>
          <w:lang w:val="pl-PL" w:eastAsia="hr-HR"/>
        </w:rPr>
      </w:pPr>
      <w:r w:rsidRPr="009E0336">
        <w:rPr>
          <w:rFonts w:ascii="Times New Roman" w:eastAsia="Symbol" w:hAnsi="Times New Roman" w:cs="Times New Roman"/>
          <w:kern w:val="0"/>
          <w:sz w:val="20"/>
          <w:szCs w:val="20"/>
          <w:lang w:val="pl-PL" w:eastAsia="hr-HR"/>
        </w:rPr>
        <w:t xml:space="preserve">Izvor Prihodi za posebne namjene (SDŽ) odnose se na financiranje nabave i održavanja defibrilatora na javnim mjestima. U </w:t>
      </w:r>
      <w:r w:rsidR="00C87DA7" w:rsidRPr="009E0336">
        <w:rPr>
          <w:rFonts w:ascii="Times New Roman" w:eastAsia="Symbol" w:hAnsi="Times New Roman" w:cs="Times New Roman"/>
          <w:kern w:val="0"/>
          <w:sz w:val="20"/>
          <w:szCs w:val="20"/>
          <w:lang w:val="pl-PL" w:eastAsia="hr-HR"/>
        </w:rPr>
        <w:t xml:space="preserve">planu za </w:t>
      </w:r>
      <w:r w:rsidRPr="009E0336">
        <w:rPr>
          <w:rFonts w:ascii="Times New Roman" w:eastAsia="Symbol" w:hAnsi="Times New Roman" w:cs="Times New Roman"/>
          <w:kern w:val="0"/>
          <w:sz w:val="20"/>
          <w:szCs w:val="20"/>
          <w:lang w:val="pl-PL" w:eastAsia="hr-HR"/>
        </w:rPr>
        <w:t>202</w:t>
      </w:r>
      <w:r w:rsidR="00C87DA7" w:rsidRPr="009E0336">
        <w:rPr>
          <w:rFonts w:ascii="Times New Roman" w:eastAsia="Symbol" w:hAnsi="Times New Roman" w:cs="Times New Roman"/>
          <w:kern w:val="0"/>
          <w:sz w:val="20"/>
          <w:szCs w:val="20"/>
          <w:lang w:val="pl-PL" w:eastAsia="hr-HR"/>
        </w:rPr>
        <w:t>5</w:t>
      </w:r>
      <w:r w:rsidRPr="009E0336">
        <w:rPr>
          <w:rFonts w:ascii="Times New Roman" w:eastAsia="Symbol" w:hAnsi="Times New Roman" w:cs="Times New Roman"/>
          <w:kern w:val="0"/>
          <w:sz w:val="20"/>
          <w:szCs w:val="20"/>
          <w:lang w:val="pl-PL" w:eastAsia="hr-HR"/>
        </w:rPr>
        <w:t>.g.</w:t>
      </w:r>
      <w:r w:rsidR="00C87DA7" w:rsidRPr="009E0336">
        <w:rPr>
          <w:rFonts w:ascii="Times New Roman" w:eastAsia="Symbol" w:hAnsi="Times New Roman" w:cs="Times New Roman"/>
          <w:kern w:val="0"/>
          <w:sz w:val="20"/>
          <w:szCs w:val="20"/>
          <w:lang w:val="pl-PL" w:eastAsia="hr-HR"/>
        </w:rPr>
        <w:t xml:space="preserve"> te projekcijama za 2026.g. i 2027.g. </w:t>
      </w:r>
      <w:r w:rsidRPr="009E0336">
        <w:rPr>
          <w:rFonts w:ascii="Times New Roman" w:eastAsia="Symbol" w:hAnsi="Times New Roman" w:cs="Times New Roman"/>
          <w:kern w:val="0"/>
          <w:sz w:val="20"/>
          <w:szCs w:val="20"/>
          <w:lang w:val="pl-PL" w:eastAsia="hr-HR"/>
        </w:rPr>
        <w:t xml:space="preserve">planira se prihod u iznosu od 40.000,00 </w:t>
      </w:r>
      <w:r w:rsidR="00C87DA7" w:rsidRPr="009E0336">
        <w:rPr>
          <w:rFonts w:ascii="Times New Roman" w:eastAsia="Symbol" w:hAnsi="Times New Roman" w:cs="Times New Roman"/>
          <w:kern w:val="0"/>
          <w:sz w:val="20"/>
          <w:szCs w:val="20"/>
          <w:lang w:val="pl-PL" w:eastAsia="hr-HR"/>
        </w:rPr>
        <w:t>€</w:t>
      </w:r>
      <w:r w:rsidRPr="009E0336">
        <w:rPr>
          <w:rFonts w:ascii="Times New Roman" w:eastAsia="Symbol" w:hAnsi="Times New Roman" w:cs="Times New Roman"/>
          <w:kern w:val="0"/>
          <w:sz w:val="20"/>
          <w:szCs w:val="20"/>
          <w:lang w:val="pl-PL" w:eastAsia="hr-HR"/>
        </w:rPr>
        <w:t xml:space="preserve"> </w:t>
      </w:r>
      <w:r w:rsidR="00C87DA7" w:rsidRPr="009E0336">
        <w:rPr>
          <w:rFonts w:ascii="Times New Roman" w:eastAsia="Symbol" w:hAnsi="Times New Roman" w:cs="Times New Roman"/>
          <w:kern w:val="0"/>
          <w:sz w:val="20"/>
          <w:szCs w:val="20"/>
          <w:lang w:val="pl-PL" w:eastAsia="hr-HR"/>
        </w:rPr>
        <w:t xml:space="preserve">koliko je i u Rebalansu br. I u 2024.g., a </w:t>
      </w:r>
      <w:r w:rsidRPr="009E0336">
        <w:rPr>
          <w:rFonts w:ascii="Times New Roman" w:eastAsia="Symbol" w:hAnsi="Times New Roman" w:cs="Times New Roman"/>
          <w:kern w:val="0"/>
          <w:sz w:val="20"/>
          <w:szCs w:val="20"/>
          <w:lang w:val="pl-PL" w:eastAsia="hr-HR"/>
        </w:rPr>
        <w:t xml:space="preserve">što je gotovo isti iznos koji je </w:t>
      </w:r>
      <w:r w:rsidR="00C87DA7" w:rsidRPr="009E0336">
        <w:rPr>
          <w:rFonts w:ascii="Times New Roman" w:eastAsia="Symbol" w:hAnsi="Times New Roman" w:cs="Times New Roman"/>
          <w:kern w:val="0"/>
          <w:sz w:val="20"/>
          <w:szCs w:val="20"/>
          <w:lang w:val="pl-PL" w:eastAsia="hr-HR"/>
        </w:rPr>
        <w:t xml:space="preserve">ostvaren </w:t>
      </w:r>
      <w:r w:rsidRPr="009E0336">
        <w:rPr>
          <w:rFonts w:ascii="Times New Roman" w:eastAsia="Symbol" w:hAnsi="Times New Roman" w:cs="Times New Roman"/>
          <w:kern w:val="0"/>
          <w:sz w:val="20"/>
          <w:szCs w:val="20"/>
          <w:lang w:val="pl-PL" w:eastAsia="hr-HR"/>
        </w:rPr>
        <w:t>u  2023.g.</w:t>
      </w:r>
    </w:p>
    <w:p w14:paraId="30DE980E" w14:textId="77777777" w:rsidR="00C87DA7" w:rsidRPr="009E0336" w:rsidRDefault="00C87DA7" w:rsidP="005747F4">
      <w:pPr>
        <w:spacing w:line="240" w:lineRule="auto"/>
        <w:jc w:val="both"/>
        <w:rPr>
          <w:rFonts w:ascii="Times New Roman" w:eastAsia="Symbol" w:hAnsi="Times New Roman" w:cs="Times New Roman"/>
          <w:kern w:val="0"/>
          <w:sz w:val="20"/>
          <w:szCs w:val="20"/>
          <w:lang w:val="pl-PL" w:eastAsia="hr-HR"/>
        </w:rPr>
      </w:pPr>
    </w:p>
    <w:p w14:paraId="51C49F15" w14:textId="28F18A88" w:rsidR="00FA112D" w:rsidRPr="009E0336" w:rsidRDefault="005747F4" w:rsidP="00FA112D">
      <w:pPr>
        <w:widowControl/>
        <w:suppressAutoHyphens w:val="0"/>
        <w:autoSpaceDN/>
        <w:spacing w:after="0" w:line="240" w:lineRule="auto"/>
        <w:jc w:val="both"/>
        <w:rPr>
          <w:rFonts w:ascii="Times New Roman" w:eastAsia="Symbol" w:hAnsi="Times New Roman" w:cs="Times New Roman"/>
          <w:kern w:val="0"/>
          <w:sz w:val="20"/>
          <w:szCs w:val="20"/>
          <w:lang w:val="pl-PL" w:eastAsia="hr-HR"/>
        </w:rPr>
      </w:pPr>
      <w:r w:rsidRPr="009E0336">
        <w:rPr>
          <w:rFonts w:ascii="Times New Roman" w:eastAsia="Symbol" w:hAnsi="Times New Roman" w:cs="Times New Roman"/>
          <w:kern w:val="0"/>
          <w:sz w:val="20"/>
          <w:szCs w:val="20"/>
          <w:lang w:val="pl-PL" w:eastAsia="hr-HR"/>
        </w:rPr>
        <w:t>Prihod od HZZO-a (izvor Prihod za posebne namjene) odnosi se na prihod od glavarine za financiranje ugovorenih timova hitne medicine i sanitetskog prijevoza, prihod od pruženih zdravstvenih usluga temeljem EU kartica, refundacija utrošenih lijekova</w:t>
      </w:r>
      <w:r w:rsidR="00250D8B" w:rsidRPr="009E0336">
        <w:rPr>
          <w:rFonts w:ascii="Times New Roman" w:eastAsia="Symbol" w:hAnsi="Times New Roman" w:cs="Times New Roman"/>
          <w:kern w:val="0"/>
          <w:sz w:val="20"/>
          <w:szCs w:val="20"/>
          <w:lang w:val="pl-PL" w:eastAsia="hr-HR"/>
        </w:rPr>
        <w:t xml:space="preserve">, </w:t>
      </w:r>
      <w:r w:rsidRPr="009E0336">
        <w:rPr>
          <w:rFonts w:ascii="Times New Roman" w:eastAsia="Symbol" w:hAnsi="Times New Roman" w:cs="Times New Roman"/>
          <w:kern w:val="0"/>
          <w:sz w:val="20"/>
          <w:szCs w:val="20"/>
          <w:lang w:val="pl-PL" w:eastAsia="hr-HR"/>
        </w:rPr>
        <w:t>te od naknade za prijeđene kilometre sanitetskih vozila. U 202</w:t>
      </w:r>
      <w:r w:rsidR="00C7684C" w:rsidRPr="009E0336">
        <w:rPr>
          <w:rFonts w:ascii="Times New Roman" w:eastAsia="Symbol" w:hAnsi="Times New Roman" w:cs="Times New Roman"/>
          <w:kern w:val="0"/>
          <w:sz w:val="20"/>
          <w:szCs w:val="20"/>
          <w:lang w:val="pl-PL" w:eastAsia="hr-HR"/>
        </w:rPr>
        <w:t>5</w:t>
      </w:r>
      <w:r w:rsidRPr="009E0336">
        <w:rPr>
          <w:rFonts w:ascii="Times New Roman" w:eastAsia="Symbol" w:hAnsi="Times New Roman" w:cs="Times New Roman"/>
          <w:kern w:val="0"/>
          <w:sz w:val="20"/>
          <w:szCs w:val="20"/>
          <w:lang w:val="pl-PL" w:eastAsia="hr-HR"/>
        </w:rPr>
        <w:t>.g. planira</w:t>
      </w:r>
      <w:r w:rsidR="00C7684C" w:rsidRPr="009E0336">
        <w:rPr>
          <w:rFonts w:ascii="Times New Roman" w:eastAsia="Symbol" w:hAnsi="Times New Roman" w:cs="Times New Roman"/>
          <w:kern w:val="0"/>
          <w:sz w:val="20"/>
          <w:szCs w:val="20"/>
          <w:lang w:val="pl-PL" w:eastAsia="hr-HR"/>
        </w:rPr>
        <w:t>ju</w:t>
      </w:r>
      <w:r w:rsidRPr="009E0336">
        <w:rPr>
          <w:rFonts w:ascii="Times New Roman" w:eastAsia="Symbol" w:hAnsi="Times New Roman" w:cs="Times New Roman"/>
          <w:kern w:val="0"/>
          <w:sz w:val="20"/>
          <w:szCs w:val="20"/>
          <w:lang w:val="pl-PL" w:eastAsia="hr-HR"/>
        </w:rPr>
        <w:t xml:space="preserve"> se </w:t>
      </w:r>
      <w:r w:rsidR="00C7684C" w:rsidRPr="009E0336">
        <w:rPr>
          <w:rFonts w:ascii="Times New Roman" w:eastAsia="Symbol" w:hAnsi="Times New Roman" w:cs="Times New Roman"/>
          <w:kern w:val="0"/>
          <w:sz w:val="20"/>
          <w:szCs w:val="20"/>
          <w:lang w:val="pl-PL" w:eastAsia="hr-HR"/>
        </w:rPr>
        <w:t xml:space="preserve">prihodi </w:t>
      </w:r>
      <w:r w:rsidRPr="009E0336">
        <w:rPr>
          <w:rFonts w:ascii="Times New Roman" w:eastAsia="Symbol" w:hAnsi="Times New Roman" w:cs="Times New Roman"/>
          <w:kern w:val="0"/>
          <w:sz w:val="20"/>
          <w:szCs w:val="20"/>
          <w:lang w:val="pl-PL" w:eastAsia="hr-HR"/>
        </w:rPr>
        <w:t xml:space="preserve">u iznosu od </w:t>
      </w:r>
      <w:r w:rsidR="00C7684C" w:rsidRPr="009E0336">
        <w:rPr>
          <w:rFonts w:ascii="Times New Roman" w:eastAsia="Symbol" w:hAnsi="Times New Roman" w:cs="Times New Roman"/>
          <w:kern w:val="0"/>
          <w:sz w:val="20"/>
          <w:szCs w:val="20"/>
          <w:lang w:val="pl-PL" w:eastAsia="hr-HR"/>
        </w:rPr>
        <w:t>27.883.000,00 €</w:t>
      </w:r>
      <w:r w:rsidRPr="009E0336">
        <w:rPr>
          <w:rFonts w:ascii="Times New Roman" w:eastAsia="Symbol" w:hAnsi="Times New Roman" w:cs="Times New Roman"/>
          <w:kern w:val="0"/>
          <w:sz w:val="20"/>
          <w:szCs w:val="20"/>
          <w:lang w:val="pl-PL" w:eastAsia="hr-HR"/>
        </w:rPr>
        <w:t xml:space="preserve"> što je </w:t>
      </w:r>
      <w:r w:rsidR="00C7684C" w:rsidRPr="009E0336">
        <w:rPr>
          <w:rFonts w:ascii="Times New Roman" w:eastAsia="Symbol" w:hAnsi="Times New Roman" w:cs="Times New Roman"/>
          <w:kern w:val="0"/>
          <w:sz w:val="20"/>
          <w:szCs w:val="20"/>
          <w:lang w:val="pl-PL" w:eastAsia="hr-HR"/>
        </w:rPr>
        <w:t>826.051,38 €</w:t>
      </w:r>
      <w:r w:rsidRPr="009E0336">
        <w:rPr>
          <w:rFonts w:ascii="Times New Roman" w:eastAsia="Symbol" w:hAnsi="Times New Roman" w:cs="Times New Roman"/>
          <w:kern w:val="0"/>
          <w:sz w:val="20"/>
          <w:szCs w:val="20"/>
          <w:lang w:val="pl-PL" w:eastAsia="hr-HR"/>
        </w:rPr>
        <w:t xml:space="preserve"> ili </w:t>
      </w:r>
      <w:r w:rsidR="00C7684C" w:rsidRPr="009E0336">
        <w:rPr>
          <w:rFonts w:ascii="Times New Roman" w:eastAsia="Symbol" w:hAnsi="Times New Roman" w:cs="Times New Roman"/>
          <w:kern w:val="0"/>
          <w:sz w:val="20"/>
          <w:szCs w:val="20"/>
          <w:lang w:val="pl-PL" w:eastAsia="hr-HR"/>
        </w:rPr>
        <w:t>3,1</w:t>
      </w:r>
      <w:r w:rsidRPr="009E0336">
        <w:rPr>
          <w:rFonts w:ascii="Times New Roman" w:eastAsia="Symbol" w:hAnsi="Times New Roman" w:cs="Times New Roman"/>
          <w:kern w:val="0"/>
          <w:sz w:val="20"/>
          <w:szCs w:val="20"/>
          <w:lang w:val="pl-PL" w:eastAsia="hr-HR"/>
        </w:rPr>
        <w:t xml:space="preserve">% više od </w:t>
      </w:r>
      <w:r w:rsidR="00C7684C" w:rsidRPr="009E0336">
        <w:rPr>
          <w:rFonts w:ascii="Times New Roman" w:eastAsia="Symbol" w:hAnsi="Times New Roman" w:cs="Times New Roman"/>
          <w:kern w:val="0"/>
          <w:sz w:val="20"/>
          <w:szCs w:val="20"/>
          <w:lang w:val="pl-PL" w:eastAsia="hr-HR"/>
        </w:rPr>
        <w:t>Rebalansa br. I u 2024.g.</w:t>
      </w:r>
      <w:r w:rsidRPr="009E0336">
        <w:rPr>
          <w:rFonts w:ascii="Times New Roman" w:eastAsia="Symbol" w:hAnsi="Times New Roman" w:cs="Times New Roman"/>
          <w:kern w:val="0"/>
          <w:sz w:val="20"/>
          <w:szCs w:val="20"/>
          <w:lang w:val="pl-PL" w:eastAsia="hr-HR"/>
        </w:rPr>
        <w:t xml:space="preserve">, odnosno što je </w:t>
      </w:r>
      <w:r w:rsidR="00C7684C" w:rsidRPr="009E0336">
        <w:rPr>
          <w:rFonts w:ascii="Times New Roman" w:eastAsia="Symbol" w:hAnsi="Times New Roman" w:cs="Times New Roman"/>
          <w:kern w:val="0"/>
          <w:sz w:val="20"/>
          <w:szCs w:val="20"/>
          <w:lang w:val="pl-PL" w:eastAsia="hr-HR"/>
        </w:rPr>
        <w:t>10.792.474,11 €</w:t>
      </w:r>
      <w:r w:rsidRPr="009E0336">
        <w:rPr>
          <w:rFonts w:ascii="Times New Roman" w:eastAsia="Symbol" w:hAnsi="Times New Roman" w:cs="Times New Roman"/>
          <w:kern w:val="0"/>
          <w:sz w:val="20"/>
          <w:szCs w:val="20"/>
          <w:lang w:val="pl-PL" w:eastAsia="hr-HR"/>
        </w:rPr>
        <w:t xml:space="preserve"> ili </w:t>
      </w:r>
      <w:r w:rsidR="00C7684C" w:rsidRPr="009E0336">
        <w:rPr>
          <w:rFonts w:ascii="Times New Roman" w:eastAsia="Symbol" w:hAnsi="Times New Roman" w:cs="Times New Roman"/>
          <w:kern w:val="0"/>
          <w:sz w:val="20"/>
          <w:szCs w:val="20"/>
          <w:lang w:val="pl-PL" w:eastAsia="hr-HR"/>
        </w:rPr>
        <w:t>63,1 %</w:t>
      </w:r>
      <w:r w:rsidRPr="009E0336">
        <w:rPr>
          <w:rFonts w:ascii="Times New Roman" w:eastAsia="Symbol" w:hAnsi="Times New Roman" w:cs="Times New Roman"/>
          <w:kern w:val="0"/>
          <w:sz w:val="20"/>
          <w:szCs w:val="20"/>
          <w:lang w:val="pl-PL" w:eastAsia="hr-HR"/>
        </w:rPr>
        <w:t xml:space="preserve"> više od ostvarenja u 202</w:t>
      </w:r>
      <w:r w:rsidR="00C7684C" w:rsidRPr="009E0336">
        <w:rPr>
          <w:rFonts w:ascii="Times New Roman" w:eastAsia="Symbol" w:hAnsi="Times New Roman" w:cs="Times New Roman"/>
          <w:kern w:val="0"/>
          <w:sz w:val="20"/>
          <w:szCs w:val="20"/>
          <w:lang w:val="pl-PL" w:eastAsia="hr-HR"/>
        </w:rPr>
        <w:t>3</w:t>
      </w:r>
      <w:r w:rsidRPr="009E0336">
        <w:rPr>
          <w:rFonts w:ascii="Times New Roman" w:eastAsia="Symbol" w:hAnsi="Times New Roman" w:cs="Times New Roman"/>
          <w:kern w:val="0"/>
          <w:sz w:val="20"/>
          <w:szCs w:val="20"/>
          <w:lang w:val="pl-PL" w:eastAsia="hr-HR"/>
        </w:rPr>
        <w:t>.g. Prihod od HZZO-a za ugovorene timove hitne medicine i sanitetskog prijevoza  u 202</w:t>
      </w:r>
      <w:r w:rsidR="00C7684C" w:rsidRPr="009E0336">
        <w:rPr>
          <w:rFonts w:ascii="Times New Roman" w:eastAsia="Symbol" w:hAnsi="Times New Roman" w:cs="Times New Roman"/>
          <w:kern w:val="0"/>
          <w:sz w:val="20"/>
          <w:szCs w:val="20"/>
          <w:lang w:val="pl-PL" w:eastAsia="hr-HR"/>
        </w:rPr>
        <w:t>5</w:t>
      </w:r>
      <w:r w:rsidRPr="009E0336">
        <w:rPr>
          <w:rFonts w:ascii="Times New Roman" w:eastAsia="Symbol" w:hAnsi="Times New Roman" w:cs="Times New Roman"/>
          <w:kern w:val="0"/>
          <w:sz w:val="20"/>
          <w:szCs w:val="20"/>
          <w:lang w:val="pl-PL" w:eastAsia="hr-HR"/>
        </w:rPr>
        <w:t xml:space="preserve">.g. planiran je na temelju </w:t>
      </w:r>
      <w:r w:rsidR="00250D8B" w:rsidRPr="009E0336">
        <w:rPr>
          <w:rFonts w:ascii="Times New Roman" w:eastAsia="Symbol" w:hAnsi="Times New Roman" w:cs="Times New Roman"/>
          <w:kern w:val="0"/>
          <w:sz w:val="20"/>
          <w:szCs w:val="20"/>
          <w:lang w:val="pl-PL" w:eastAsia="hr-HR"/>
        </w:rPr>
        <w:t xml:space="preserve">nove Mreže hitne medicine i sanitetskog prijevoza (NN 134/23) i </w:t>
      </w:r>
      <w:r w:rsidRPr="009E0336">
        <w:rPr>
          <w:rFonts w:ascii="Times New Roman" w:eastAsia="Symbol" w:hAnsi="Times New Roman" w:cs="Times New Roman"/>
          <w:kern w:val="0"/>
          <w:sz w:val="20"/>
          <w:szCs w:val="20"/>
          <w:lang w:val="pl-PL" w:eastAsia="hr-HR"/>
        </w:rPr>
        <w:t xml:space="preserve">Odluke o osnovama za sklapanje ugovora o provođenju zdravstvene zaštite iz obveznog zdravstvenog osiguranja </w:t>
      </w:r>
      <w:r w:rsidR="00FA112D" w:rsidRPr="009E0336">
        <w:rPr>
          <w:rFonts w:ascii="Times New Roman" w:eastAsia="Symbol" w:hAnsi="Times New Roman" w:cs="Times New Roman"/>
          <w:kern w:val="0"/>
          <w:sz w:val="20"/>
          <w:szCs w:val="20"/>
          <w:lang w:val="pl-PL" w:eastAsia="hr-HR"/>
        </w:rPr>
        <w:t>(NN 77/24).</w:t>
      </w:r>
    </w:p>
    <w:p w14:paraId="53BADDA7" w14:textId="60525646" w:rsidR="00250D8B" w:rsidRPr="009E0336" w:rsidRDefault="005747F4" w:rsidP="00FA112D">
      <w:pPr>
        <w:widowControl/>
        <w:suppressAutoHyphens w:val="0"/>
        <w:autoSpaceDN/>
        <w:spacing w:after="0" w:line="240" w:lineRule="auto"/>
        <w:jc w:val="both"/>
        <w:rPr>
          <w:rFonts w:ascii="Times New Roman" w:eastAsia="Symbol" w:hAnsi="Times New Roman" w:cs="Times New Roman"/>
          <w:kern w:val="0"/>
          <w:sz w:val="20"/>
          <w:szCs w:val="20"/>
          <w:lang w:val="pl-PL"/>
        </w:rPr>
      </w:pPr>
      <w:r w:rsidRPr="009E0336">
        <w:rPr>
          <w:rFonts w:ascii="Times New Roman" w:eastAsia="Symbol" w:hAnsi="Times New Roman" w:cs="Times New Roman"/>
          <w:kern w:val="0"/>
          <w:sz w:val="20"/>
          <w:szCs w:val="20"/>
          <w:lang w:val="pl-PL"/>
        </w:rPr>
        <w:lastRenderedPageBreak/>
        <w:t>Projekcija za 202</w:t>
      </w:r>
      <w:r w:rsidR="00250D8B" w:rsidRPr="009E0336">
        <w:rPr>
          <w:rFonts w:ascii="Times New Roman" w:eastAsia="Symbol" w:hAnsi="Times New Roman" w:cs="Times New Roman"/>
          <w:kern w:val="0"/>
          <w:sz w:val="20"/>
          <w:szCs w:val="20"/>
          <w:lang w:val="pl-PL"/>
        </w:rPr>
        <w:t>6</w:t>
      </w:r>
      <w:r w:rsidRPr="009E0336">
        <w:rPr>
          <w:rFonts w:ascii="Times New Roman" w:eastAsia="Symbol" w:hAnsi="Times New Roman" w:cs="Times New Roman"/>
          <w:kern w:val="0"/>
          <w:sz w:val="20"/>
          <w:szCs w:val="20"/>
          <w:lang w:val="pl-PL"/>
        </w:rPr>
        <w:t xml:space="preserve">.g. iznosi </w:t>
      </w:r>
      <w:r w:rsidR="00250D8B" w:rsidRPr="009E0336">
        <w:rPr>
          <w:rFonts w:ascii="Times New Roman" w:eastAsia="Symbol" w:hAnsi="Times New Roman" w:cs="Times New Roman"/>
          <w:kern w:val="0"/>
          <w:sz w:val="20"/>
          <w:szCs w:val="20"/>
          <w:lang w:val="pl-PL"/>
        </w:rPr>
        <w:t>28.480.000,00 €</w:t>
      </w:r>
      <w:r w:rsidRPr="009E0336">
        <w:rPr>
          <w:rFonts w:ascii="Times New Roman" w:eastAsia="Symbol" w:hAnsi="Times New Roman" w:cs="Times New Roman"/>
          <w:kern w:val="0"/>
          <w:sz w:val="20"/>
          <w:szCs w:val="20"/>
          <w:lang w:val="pl-PL"/>
        </w:rPr>
        <w:t xml:space="preserve"> što je </w:t>
      </w:r>
      <w:r w:rsidR="00250D8B" w:rsidRPr="009E0336">
        <w:rPr>
          <w:rFonts w:ascii="Times New Roman" w:eastAsia="Symbol" w:hAnsi="Times New Roman" w:cs="Times New Roman"/>
          <w:kern w:val="0"/>
          <w:sz w:val="20"/>
          <w:szCs w:val="20"/>
          <w:lang w:val="pl-PL"/>
        </w:rPr>
        <w:t>597.000,00 €</w:t>
      </w:r>
      <w:r w:rsidRPr="009E0336">
        <w:rPr>
          <w:rFonts w:ascii="Times New Roman" w:eastAsia="Symbol" w:hAnsi="Times New Roman" w:cs="Times New Roman"/>
          <w:kern w:val="0"/>
          <w:sz w:val="20"/>
          <w:szCs w:val="20"/>
          <w:lang w:val="pl-PL"/>
        </w:rPr>
        <w:t xml:space="preserve"> ili </w:t>
      </w:r>
      <w:r w:rsidR="00250D8B" w:rsidRPr="009E0336">
        <w:rPr>
          <w:rFonts w:ascii="Times New Roman" w:eastAsia="Symbol" w:hAnsi="Times New Roman" w:cs="Times New Roman"/>
          <w:kern w:val="0"/>
          <w:sz w:val="20"/>
          <w:szCs w:val="20"/>
          <w:lang w:val="pl-PL"/>
        </w:rPr>
        <w:t>2,1</w:t>
      </w:r>
      <w:r w:rsidRPr="009E0336">
        <w:rPr>
          <w:rFonts w:ascii="Times New Roman" w:eastAsia="Symbol" w:hAnsi="Times New Roman" w:cs="Times New Roman"/>
          <w:kern w:val="0"/>
          <w:sz w:val="20"/>
          <w:szCs w:val="20"/>
          <w:lang w:val="pl-PL"/>
        </w:rPr>
        <w:t>% više od planiranog u 202</w:t>
      </w:r>
      <w:r w:rsidR="00250D8B" w:rsidRPr="009E0336">
        <w:rPr>
          <w:rFonts w:ascii="Times New Roman" w:eastAsia="Symbol" w:hAnsi="Times New Roman" w:cs="Times New Roman"/>
          <w:kern w:val="0"/>
          <w:sz w:val="20"/>
          <w:szCs w:val="20"/>
          <w:lang w:val="pl-PL"/>
        </w:rPr>
        <w:t>5</w:t>
      </w:r>
      <w:r w:rsidRPr="009E0336">
        <w:rPr>
          <w:rFonts w:ascii="Times New Roman" w:eastAsia="Symbol" w:hAnsi="Times New Roman" w:cs="Times New Roman"/>
          <w:kern w:val="0"/>
          <w:sz w:val="20"/>
          <w:szCs w:val="20"/>
          <w:lang w:val="pl-PL"/>
        </w:rPr>
        <w:t xml:space="preserve">.g. te </w:t>
      </w:r>
      <w:r w:rsidR="00250D8B" w:rsidRPr="009E0336">
        <w:rPr>
          <w:rFonts w:ascii="Times New Roman" w:eastAsia="Symbol" w:hAnsi="Times New Roman" w:cs="Times New Roman"/>
          <w:kern w:val="0"/>
          <w:sz w:val="20"/>
          <w:szCs w:val="20"/>
          <w:lang w:val="pl-PL"/>
        </w:rPr>
        <w:t>29.083.000,00 €</w:t>
      </w:r>
      <w:r w:rsidRPr="009E0336">
        <w:rPr>
          <w:rFonts w:ascii="Times New Roman" w:eastAsia="Symbol" w:hAnsi="Times New Roman" w:cs="Times New Roman"/>
          <w:kern w:val="0"/>
          <w:sz w:val="20"/>
          <w:szCs w:val="20"/>
          <w:lang w:val="pl-PL"/>
        </w:rPr>
        <w:t xml:space="preserve"> u 202</w:t>
      </w:r>
      <w:r w:rsidR="00250D8B" w:rsidRPr="009E0336">
        <w:rPr>
          <w:rFonts w:ascii="Times New Roman" w:eastAsia="Symbol" w:hAnsi="Times New Roman" w:cs="Times New Roman"/>
          <w:kern w:val="0"/>
          <w:sz w:val="20"/>
          <w:szCs w:val="20"/>
          <w:lang w:val="pl-PL"/>
        </w:rPr>
        <w:t>7</w:t>
      </w:r>
      <w:r w:rsidRPr="009E0336">
        <w:rPr>
          <w:rFonts w:ascii="Times New Roman" w:eastAsia="Symbol" w:hAnsi="Times New Roman" w:cs="Times New Roman"/>
          <w:kern w:val="0"/>
          <w:sz w:val="20"/>
          <w:szCs w:val="20"/>
          <w:lang w:val="pl-PL"/>
        </w:rPr>
        <w:t xml:space="preserve">.g. što je </w:t>
      </w:r>
      <w:r w:rsidR="00250D8B" w:rsidRPr="009E0336">
        <w:rPr>
          <w:rFonts w:ascii="Times New Roman" w:eastAsia="Symbol" w:hAnsi="Times New Roman" w:cs="Times New Roman"/>
          <w:kern w:val="0"/>
          <w:sz w:val="20"/>
          <w:szCs w:val="20"/>
          <w:lang w:val="pl-PL"/>
        </w:rPr>
        <w:t>603.000,00 € i</w:t>
      </w:r>
      <w:r w:rsidRPr="009E0336">
        <w:rPr>
          <w:rFonts w:ascii="Times New Roman" w:eastAsia="Symbol" w:hAnsi="Times New Roman" w:cs="Times New Roman"/>
          <w:kern w:val="0"/>
          <w:sz w:val="20"/>
          <w:szCs w:val="20"/>
          <w:lang w:val="pl-PL"/>
        </w:rPr>
        <w:t xml:space="preserve">li </w:t>
      </w:r>
      <w:r w:rsidR="00250D8B" w:rsidRPr="009E0336">
        <w:rPr>
          <w:rFonts w:ascii="Times New Roman" w:eastAsia="Symbol" w:hAnsi="Times New Roman" w:cs="Times New Roman"/>
          <w:kern w:val="0"/>
          <w:sz w:val="20"/>
          <w:szCs w:val="20"/>
          <w:lang w:val="pl-PL"/>
        </w:rPr>
        <w:t>2,1</w:t>
      </w:r>
      <w:r w:rsidRPr="009E0336">
        <w:rPr>
          <w:rFonts w:ascii="Times New Roman" w:eastAsia="Symbol" w:hAnsi="Times New Roman" w:cs="Times New Roman"/>
          <w:kern w:val="0"/>
          <w:sz w:val="20"/>
          <w:szCs w:val="20"/>
          <w:lang w:val="pl-PL"/>
        </w:rPr>
        <w:t>% više od planiranog za 202</w:t>
      </w:r>
      <w:r w:rsidR="00250D8B" w:rsidRPr="009E0336">
        <w:rPr>
          <w:rFonts w:ascii="Times New Roman" w:eastAsia="Symbol" w:hAnsi="Times New Roman" w:cs="Times New Roman"/>
          <w:kern w:val="0"/>
          <w:sz w:val="20"/>
          <w:szCs w:val="20"/>
          <w:lang w:val="pl-PL"/>
        </w:rPr>
        <w:t>6</w:t>
      </w:r>
      <w:r w:rsidRPr="009E0336">
        <w:rPr>
          <w:rFonts w:ascii="Times New Roman" w:eastAsia="Symbol" w:hAnsi="Times New Roman" w:cs="Times New Roman"/>
          <w:kern w:val="0"/>
          <w:sz w:val="20"/>
          <w:szCs w:val="20"/>
          <w:lang w:val="pl-PL"/>
        </w:rPr>
        <w:t xml:space="preserve">.g. </w:t>
      </w:r>
      <w:r w:rsidR="00250D8B" w:rsidRPr="009E0336">
        <w:rPr>
          <w:rFonts w:ascii="Times New Roman" w:eastAsia="Symbol" w:hAnsi="Times New Roman" w:cs="Times New Roman"/>
          <w:kern w:val="0"/>
          <w:sz w:val="20"/>
          <w:szCs w:val="20"/>
          <w:lang w:val="pl-PL"/>
        </w:rPr>
        <w:t xml:space="preserve">Do povećanja prihoda od HZZO-a očekuje se da će doći zbog financiranja </w:t>
      </w:r>
      <w:r w:rsidR="00250D8B" w:rsidRPr="009E0336">
        <w:rPr>
          <w:rFonts w:ascii="Times New Roman" w:hAnsi="Times New Roman" w:cs="Times New Roman"/>
          <w:iCs/>
          <w:sz w:val="20"/>
          <w:szCs w:val="20"/>
        </w:rPr>
        <w:t>povećanih rashoda za zaposlene zbog minulog staža (0,5 % po godini), zbog većeg broja medicinskih tehničara sa završenim specijalističkim usavršavanjem iz  hitne medicine te ukidanje olakšice oslobođenja od obveze doprinosa na plaću za mlade osobe (do 30 godina života).</w:t>
      </w:r>
    </w:p>
    <w:p w14:paraId="61DF2074" w14:textId="77777777" w:rsidR="00250D8B" w:rsidRPr="009E0336" w:rsidRDefault="00250D8B" w:rsidP="005747F4">
      <w:pPr>
        <w:pStyle w:val="Standard"/>
        <w:jc w:val="both"/>
        <w:rPr>
          <w:rFonts w:eastAsia="Symbol"/>
          <w:kern w:val="0"/>
          <w:sz w:val="20"/>
          <w:szCs w:val="20"/>
          <w:lang w:val="pl-PL"/>
        </w:rPr>
      </w:pPr>
    </w:p>
    <w:p w14:paraId="00076A63" w14:textId="3D2E68F9" w:rsidR="005747F4" w:rsidRPr="009E0336" w:rsidRDefault="005747F4" w:rsidP="005747F4">
      <w:pPr>
        <w:widowControl/>
        <w:suppressAutoHyphens w:val="0"/>
        <w:autoSpaceDN/>
        <w:spacing w:after="0" w:line="240" w:lineRule="auto"/>
        <w:jc w:val="both"/>
        <w:rPr>
          <w:rFonts w:ascii="Times New Roman" w:eastAsia="Symbol" w:hAnsi="Times New Roman" w:cs="Times New Roman"/>
          <w:kern w:val="0"/>
          <w:sz w:val="20"/>
          <w:szCs w:val="20"/>
          <w:lang w:val="pl-PL" w:eastAsia="hr-HR"/>
        </w:rPr>
      </w:pPr>
      <w:r w:rsidRPr="009E0336">
        <w:rPr>
          <w:rFonts w:ascii="Times New Roman" w:eastAsia="Symbol" w:hAnsi="Times New Roman" w:cs="Times New Roman"/>
          <w:kern w:val="0"/>
          <w:sz w:val="20"/>
          <w:szCs w:val="20"/>
          <w:lang w:val="pl-PL" w:eastAsia="hr-HR"/>
        </w:rPr>
        <w:t xml:space="preserve">Kazne, upravne mjere i ostali prihodi (skupina 68 / izvor Vlastiti prihodi) – u </w:t>
      </w:r>
      <w:r w:rsidR="0010241D" w:rsidRPr="009E0336">
        <w:rPr>
          <w:rFonts w:ascii="Times New Roman" w:eastAsia="Symbol" w:hAnsi="Times New Roman" w:cs="Times New Roman"/>
          <w:kern w:val="0"/>
          <w:sz w:val="20"/>
          <w:szCs w:val="20"/>
          <w:lang w:val="pl-PL" w:eastAsia="hr-HR"/>
        </w:rPr>
        <w:t xml:space="preserve">planu za </w:t>
      </w:r>
      <w:r w:rsidRPr="009E0336">
        <w:rPr>
          <w:rFonts w:ascii="Times New Roman" w:eastAsia="Symbol" w:hAnsi="Times New Roman" w:cs="Times New Roman"/>
          <w:kern w:val="0"/>
          <w:sz w:val="20"/>
          <w:szCs w:val="20"/>
          <w:lang w:val="pl-PL" w:eastAsia="hr-HR"/>
        </w:rPr>
        <w:t>202</w:t>
      </w:r>
      <w:r w:rsidR="0010241D" w:rsidRPr="009E0336">
        <w:rPr>
          <w:rFonts w:ascii="Times New Roman" w:eastAsia="Symbol" w:hAnsi="Times New Roman" w:cs="Times New Roman"/>
          <w:kern w:val="0"/>
          <w:sz w:val="20"/>
          <w:szCs w:val="20"/>
          <w:lang w:val="pl-PL" w:eastAsia="hr-HR"/>
        </w:rPr>
        <w:t>5</w:t>
      </w:r>
      <w:r w:rsidRPr="009E0336">
        <w:rPr>
          <w:rFonts w:ascii="Times New Roman" w:eastAsia="Symbol" w:hAnsi="Times New Roman" w:cs="Times New Roman"/>
          <w:kern w:val="0"/>
          <w:sz w:val="20"/>
          <w:szCs w:val="20"/>
          <w:lang w:val="pl-PL" w:eastAsia="hr-HR"/>
        </w:rPr>
        <w:t xml:space="preserve">.g. </w:t>
      </w:r>
      <w:r w:rsidR="0010241D" w:rsidRPr="009E0336">
        <w:rPr>
          <w:rFonts w:ascii="Times New Roman" w:eastAsia="Symbol" w:hAnsi="Times New Roman" w:cs="Times New Roman"/>
          <w:kern w:val="0"/>
          <w:sz w:val="20"/>
          <w:szCs w:val="20"/>
          <w:lang w:val="pl-PL" w:eastAsia="hr-HR"/>
        </w:rPr>
        <w:t xml:space="preserve">te u projekcijama za 2026.g. i 2027.g. prihodi se </w:t>
      </w:r>
      <w:r w:rsidRPr="009E0336">
        <w:rPr>
          <w:rFonts w:ascii="Times New Roman" w:eastAsia="Symbol" w:hAnsi="Times New Roman" w:cs="Times New Roman"/>
          <w:kern w:val="0"/>
          <w:sz w:val="20"/>
          <w:szCs w:val="20"/>
          <w:lang w:val="pl-PL" w:eastAsia="hr-HR"/>
        </w:rPr>
        <w:t xml:space="preserve">planiraju u </w:t>
      </w:r>
      <w:r w:rsidR="0010241D" w:rsidRPr="009E0336">
        <w:rPr>
          <w:rFonts w:ascii="Times New Roman" w:eastAsia="Symbol" w:hAnsi="Times New Roman" w:cs="Times New Roman"/>
          <w:kern w:val="0"/>
          <w:sz w:val="20"/>
          <w:szCs w:val="20"/>
          <w:lang w:val="pl-PL" w:eastAsia="hr-HR"/>
        </w:rPr>
        <w:t>i</w:t>
      </w:r>
      <w:r w:rsidRPr="009E0336">
        <w:rPr>
          <w:rFonts w:ascii="Times New Roman" w:eastAsia="Symbol" w:hAnsi="Times New Roman" w:cs="Times New Roman"/>
          <w:kern w:val="0"/>
          <w:sz w:val="20"/>
          <w:szCs w:val="20"/>
          <w:lang w:val="pl-PL" w:eastAsia="hr-HR"/>
        </w:rPr>
        <w:t xml:space="preserve">znosu </w:t>
      </w:r>
      <w:r w:rsidR="0010241D" w:rsidRPr="009E0336">
        <w:rPr>
          <w:rFonts w:ascii="Times New Roman" w:eastAsia="Symbol" w:hAnsi="Times New Roman" w:cs="Times New Roman"/>
          <w:kern w:val="0"/>
          <w:sz w:val="20"/>
          <w:szCs w:val="20"/>
          <w:lang w:val="pl-PL" w:eastAsia="hr-HR"/>
        </w:rPr>
        <w:t xml:space="preserve">od 1.900,00 € </w:t>
      </w:r>
      <w:r w:rsidRPr="009E0336">
        <w:rPr>
          <w:rFonts w:ascii="Times New Roman" w:eastAsia="Symbol" w:hAnsi="Times New Roman" w:cs="Times New Roman"/>
          <w:kern w:val="0"/>
          <w:sz w:val="20"/>
          <w:szCs w:val="20"/>
          <w:lang w:val="pl-PL" w:eastAsia="hr-HR"/>
        </w:rPr>
        <w:t xml:space="preserve">koliko su iznosili u </w:t>
      </w:r>
      <w:r w:rsidR="0010241D" w:rsidRPr="009E0336">
        <w:rPr>
          <w:rFonts w:ascii="Times New Roman" w:eastAsia="Symbol" w:hAnsi="Times New Roman" w:cs="Times New Roman"/>
          <w:kern w:val="0"/>
          <w:sz w:val="20"/>
          <w:szCs w:val="20"/>
          <w:lang w:val="pl-PL" w:eastAsia="hr-HR"/>
        </w:rPr>
        <w:t xml:space="preserve">Rebalansu br. I u 2024.g. dok u odnosu na ostvarenje u </w:t>
      </w:r>
      <w:r w:rsidRPr="009E0336">
        <w:rPr>
          <w:rFonts w:ascii="Times New Roman" w:eastAsia="Symbol" w:hAnsi="Times New Roman" w:cs="Times New Roman"/>
          <w:kern w:val="0"/>
          <w:sz w:val="20"/>
          <w:szCs w:val="20"/>
          <w:lang w:val="pl-PL" w:eastAsia="hr-HR"/>
        </w:rPr>
        <w:t xml:space="preserve">2023.g. </w:t>
      </w:r>
      <w:r w:rsidR="0010241D" w:rsidRPr="009E0336">
        <w:rPr>
          <w:rFonts w:ascii="Times New Roman" w:eastAsia="Symbol" w:hAnsi="Times New Roman" w:cs="Times New Roman"/>
          <w:kern w:val="0"/>
          <w:sz w:val="20"/>
          <w:szCs w:val="20"/>
          <w:lang w:val="pl-PL" w:eastAsia="hr-HR"/>
        </w:rPr>
        <w:t>manji su za 3.120,47 € ili 62,2 %.</w:t>
      </w:r>
    </w:p>
    <w:p w14:paraId="37890D17" w14:textId="77777777" w:rsidR="005747F4" w:rsidRPr="009E0336" w:rsidRDefault="005747F4" w:rsidP="005747F4">
      <w:pPr>
        <w:jc w:val="both"/>
        <w:rPr>
          <w:rFonts w:ascii="Times New Roman" w:hAnsi="Times New Roman" w:cs="Times New Roman"/>
          <w:sz w:val="20"/>
          <w:szCs w:val="20"/>
        </w:rPr>
      </w:pPr>
    </w:p>
    <w:p w14:paraId="1FC7FCE2" w14:textId="77777777" w:rsidR="005747F4" w:rsidRPr="009E0336" w:rsidRDefault="005747F4" w:rsidP="005747F4">
      <w:pPr>
        <w:jc w:val="both"/>
        <w:rPr>
          <w:rFonts w:ascii="Times New Roman" w:hAnsi="Times New Roman" w:cs="Times New Roman"/>
          <w:b/>
          <w:bCs/>
          <w:sz w:val="20"/>
          <w:szCs w:val="20"/>
        </w:rPr>
      </w:pPr>
      <w:r w:rsidRPr="009E0336">
        <w:rPr>
          <w:rFonts w:ascii="Times New Roman" w:hAnsi="Times New Roman" w:cs="Times New Roman"/>
          <w:b/>
          <w:bCs/>
          <w:sz w:val="20"/>
          <w:szCs w:val="20"/>
        </w:rPr>
        <w:t>Prihodi od prodaje nefinancijske imovine</w:t>
      </w:r>
    </w:p>
    <w:p w14:paraId="563D1CD4" w14:textId="348A1A1D" w:rsidR="005747F4" w:rsidRPr="009E0336" w:rsidRDefault="005747F4" w:rsidP="005747F4">
      <w:pPr>
        <w:spacing w:line="240" w:lineRule="auto"/>
        <w:jc w:val="both"/>
        <w:rPr>
          <w:rFonts w:ascii="Times New Roman" w:hAnsi="Times New Roman" w:cs="Times New Roman"/>
          <w:sz w:val="20"/>
          <w:szCs w:val="20"/>
        </w:rPr>
      </w:pPr>
      <w:r w:rsidRPr="009E0336">
        <w:rPr>
          <w:rFonts w:ascii="Times New Roman" w:hAnsi="Times New Roman" w:cs="Times New Roman"/>
          <w:sz w:val="20"/>
          <w:szCs w:val="20"/>
        </w:rPr>
        <w:t>Prihod od prodaje proizvedene dugotrajne imovine (skupina 72 / izvor Prihodi od prodaje ili zamjene nefinancijske imovine i naknade s naslova osiguranja) – odnosi se na prihod od prodaje rashodovanih sanitetskih vozila i od otkupa stanova. Ova vrsta prihoda u 202</w:t>
      </w:r>
      <w:r w:rsidR="00FF0072" w:rsidRPr="009E0336">
        <w:rPr>
          <w:rFonts w:ascii="Times New Roman" w:hAnsi="Times New Roman" w:cs="Times New Roman"/>
          <w:sz w:val="20"/>
          <w:szCs w:val="20"/>
        </w:rPr>
        <w:t>5</w:t>
      </w:r>
      <w:r w:rsidRPr="009E0336">
        <w:rPr>
          <w:rFonts w:ascii="Times New Roman" w:hAnsi="Times New Roman" w:cs="Times New Roman"/>
          <w:sz w:val="20"/>
          <w:szCs w:val="20"/>
        </w:rPr>
        <w:t xml:space="preserve">.g. planira se u iznosu od </w:t>
      </w:r>
      <w:r w:rsidR="00FF0072" w:rsidRPr="009E0336">
        <w:rPr>
          <w:rFonts w:ascii="Times New Roman" w:hAnsi="Times New Roman" w:cs="Times New Roman"/>
          <w:sz w:val="20"/>
          <w:szCs w:val="20"/>
        </w:rPr>
        <w:t>10.636,06 €</w:t>
      </w:r>
      <w:r w:rsidRPr="009E0336">
        <w:rPr>
          <w:rFonts w:ascii="Times New Roman" w:hAnsi="Times New Roman" w:cs="Times New Roman"/>
          <w:sz w:val="20"/>
          <w:szCs w:val="20"/>
        </w:rPr>
        <w:t xml:space="preserve"> dok projekcija za 202</w:t>
      </w:r>
      <w:r w:rsidR="00FF0072" w:rsidRPr="009E0336">
        <w:rPr>
          <w:rFonts w:ascii="Times New Roman" w:hAnsi="Times New Roman" w:cs="Times New Roman"/>
          <w:sz w:val="20"/>
          <w:szCs w:val="20"/>
        </w:rPr>
        <w:t>6</w:t>
      </w:r>
      <w:r w:rsidRPr="009E0336">
        <w:rPr>
          <w:rFonts w:ascii="Times New Roman" w:hAnsi="Times New Roman" w:cs="Times New Roman"/>
          <w:sz w:val="20"/>
          <w:szCs w:val="20"/>
        </w:rPr>
        <w:t>.g. iznosi 1</w:t>
      </w:r>
      <w:r w:rsidR="00FF0072" w:rsidRPr="009E0336">
        <w:rPr>
          <w:rFonts w:ascii="Times New Roman" w:hAnsi="Times New Roman" w:cs="Times New Roman"/>
          <w:sz w:val="20"/>
          <w:szCs w:val="20"/>
        </w:rPr>
        <w:t>1</w:t>
      </w:r>
      <w:r w:rsidRPr="009E0336">
        <w:rPr>
          <w:rFonts w:ascii="Times New Roman" w:hAnsi="Times New Roman" w:cs="Times New Roman"/>
          <w:sz w:val="20"/>
          <w:szCs w:val="20"/>
        </w:rPr>
        <w:t>.</w:t>
      </w:r>
      <w:r w:rsidR="00FF0072" w:rsidRPr="009E0336">
        <w:rPr>
          <w:rFonts w:ascii="Times New Roman" w:hAnsi="Times New Roman" w:cs="Times New Roman"/>
          <w:sz w:val="20"/>
          <w:szCs w:val="20"/>
        </w:rPr>
        <w:t>0</w:t>
      </w:r>
      <w:r w:rsidRPr="009E0336">
        <w:rPr>
          <w:rFonts w:ascii="Times New Roman" w:hAnsi="Times New Roman" w:cs="Times New Roman"/>
          <w:sz w:val="20"/>
          <w:szCs w:val="20"/>
        </w:rPr>
        <w:t xml:space="preserve">00,00 </w:t>
      </w:r>
      <w:r w:rsidR="00FF0072" w:rsidRPr="009E0336">
        <w:rPr>
          <w:rFonts w:ascii="Times New Roman" w:hAnsi="Times New Roman" w:cs="Times New Roman"/>
          <w:sz w:val="20"/>
          <w:szCs w:val="20"/>
        </w:rPr>
        <w:t>€</w:t>
      </w:r>
      <w:r w:rsidRPr="009E0336">
        <w:rPr>
          <w:rFonts w:ascii="Times New Roman" w:hAnsi="Times New Roman" w:cs="Times New Roman"/>
          <w:sz w:val="20"/>
          <w:szCs w:val="20"/>
        </w:rPr>
        <w:t xml:space="preserve"> te za 202</w:t>
      </w:r>
      <w:r w:rsidR="00FF0072" w:rsidRPr="009E0336">
        <w:rPr>
          <w:rFonts w:ascii="Times New Roman" w:hAnsi="Times New Roman" w:cs="Times New Roman"/>
          <w:sz w:val="20"/>
          <w:szCs w:val="20"/>
        </w:rPr>
        <w:t>7</w:t>
      </w:r>
      <w:r w:rsidRPr="009E0336">
        <w:rPr>
          <w:rFonts w:ascii="Times New Roman" w:hAnsi="Times New Roman" w:cs="Times New Roman"/>
          <w:sz w:val="20"/>
          <w:szCs w:val="20"/>
        </w:rPr>
        <w:t xml:space="preserve">.g. iznosi </w:t>
      </w:r>
      <w:r w:rsidR="00FF0072" w:rsidRPr="009E0336">
        <w:rPr>
          <w:rFonts w:ascii="Times New Roman" w:hAnsi="Times New Roman" w:cs="Times New Roman"/>
          <w:sz w:val="20"/>
          <w:szCs w:val="20"/>
        </w:rPr>
        <w:t>12.0</w:t>
      </w:r>
      <w:r w:rsidRPr="009E0336">
        <w:rPr>
          <w:rFonts w:ascii="Times New Roman" w:hAnsi="Times New Roman" w:cs="Times New Roman"/>
          <w:sz w:val="20"/>
          <w:szCs w:val="20"/>
        </w:rPr>
        <w:t xml:space="preserve">00,00 </w:t>
      </w:r>
      <w:r w:rsidR="00FF0072" w:rsidRPr="009E0336">
        <w:rPr>
          <w:rFonts w:ascii="Times New Roman" w:hAnsi="Times New Roman" w:cs="Times New Roman"/>
          <w:sz w:val="20"/>
          <w:szCs w:val="20"/>
        </w:rPr>
        <w:t>€</w:t>
      </w:r>
      <w:r w:rsidRPr="009E0336">
        <w:rPr>
          <w:rFonts w:ascii="Times New Roman" w:hAnsi="Times New Roman" w:cs="Times New Roman"/>
          <w:sz w:val="20"/>
          <w:szCs w:val="20"/>
        </w:rPr>
        <w:t>.</w:t>
      </w:r>
    </w:p>
    <w:p w14:paraId="0187C9BC" w14:textId="77777777" w:rsidR="005747F4" w:rsidRPr="009E0336" w:rsidRDefault="005747F4" w:rsidP="005747F4">
      <w:pPr>
        <w:widowControl/>
        <w:suppressAutoHyphens w:val="0"/>
        <w:autoSpaceDN/>
        <w:spacing w:after="0" w:line="240" w:lineRule="auto"/>
        <w:rPr>
          <w:rFonts w:ascii="Times New Roman" w:eastAsia="Times New Roman" w:hAnsi="Times New Roman" w:cs="Times New Roman"/>
          <w:b/>
          <w:bCs/>
          <w:kern w:val="0"/>
          <w:sz w:val="20"/>
          <w:szCs w:val="20"/>
          <w:lang w:eastAsia="hr-HR"/>
        </w:rPr>
      </w:pPr>
    </w:p>
    <w:p w14:paraId="5152E72B" w14:textId="77777777" w:rsidR="005747F4" w:rsidRPr="009E0336" w:rsidRDefault="005747F4" w:rsidP="005747F4">
      <w:pPr>
        <w:widowControl/>
        <w:suppressAutoHyphens w:val="0"/>
        <w:autoSpaceDN/>
        <w:spacing w:after="0" w:line="240" w:lineRule="auto"/>
        <w:rPr>
          <w:rFonts w:ascii="Times New Roman" w:eastAsia="Times New Roman" w:hAnsi="Times New Roman" w:cs="Times New Roman"/>
          <w:b/>
          <w:bCs/>
          <w:kern w:val="0"/>
          <w:sz w:val="20"/>
          <w:szCs w:val="20"/>
          <w:lang w:eastAsia="hr-HR"/>
        </w:rPr>
      </w:pPr>
      <w:r w:rsidRPr="009E0336">
        <w:rPr>
          <w:rFonts w:ascii="Times New Roman" w:eastAsia="Times New Roman" w:hAnsi="Times New Roman" w:cs="Times New Roman"/>
          <w:b/>
          <w:bCs/>
          <w:kern w:val="0"/>
          <w:sz w:val="20"/>
          <w:szCs w:val="20"/>
          <w:lang w:eastAsia="hr-HR"/>
        </w:rPr>
        <w:t>RASHODI</w:t>
      </w:r>
    </w:p>
    <w:p w14:paraId="747B4D76" w14:textId="77777777" w:rsidR="005747F4" w:rsidRPr="009E0336" w:rsidRDefault="005747F4" w:rsidP="005747F4">
      <w:pPr>
        <w:widowControl/>
        <w:suppressAutoHyphens w:val="0"/>
        <w:autoSpaceDN/>
        <w:spacing w:after="0" w:line="240" w:lineRule="auto"/>
        <w:rPr>
          <w:rFonts w:ascii="Times New Roman" w:eastAsia="Times New Roman" w:hAnsi="Times New Roman" w:cs="Times New Roman"/>
          <w:b/>
          <w:bCs/>
          <w:kern w:val="0"/>
          <w:sz w:val="20"/>
          <w:szCs w:val="20"/>
          <w:lang w:eastAsia="hr-HR"/>
        </w:rPr>
      </w:pPr>
    </w:p>
    <w:p w14:paraId="3957A24D" w14:textId="77777777" w:rsidR="005747F4" w:rsidRPr="009E0336" w:rsidRDefault="005747F4" w:rsidP="005747F4">
      <w:pPr>
        <w:widowControl/>
        <w:suppressAutoHyphens w:val="0"/>
        <w:autoSpaceDN/>
        <w:spacing w:after="0" w:line="240" w:lineRule="auto"/>
        <w:rPr>
          <w:rFonts w:ascii="Times New Roman" w:eastAsia="Times New Roman" w:hAnsi="Times New Roman" w:cs="Times New Roman"/>
          <w:kern w:val="0"/>
          <w:sz w:val="20"/>
          <w:szCs w:val="20"/>
          <w:lang w:eastAsia="hr-HR"/>
        </w:rPr>
      </w:pPr>
    </w:p>
    <w:p w14:paraId="71FA3651" w14:textId="6A5538B0" w:rsidR="005747F4" w:rsidRPr="009E0336" w:rsidRDefault="005747F4" w:rsidP="005747F4">
      <w:pPr>
        <w:widowControl/>
        <w:suppressAutoHyphens w:val="0"/>
        <w:autoSpaceDN/>
        <w:spacing w:after="0" w:line="240" w:lineRule="auto"/>
        <w:jc w:val="both"/>
        <w:rPr>
          <w:rFonts w:ascii="Times New Roman" w:eastAsia="Times New Roman" w:hAnsi="Times New Roman" w:cs="Times New Roman"/>
          <w:kern w:val="0"/>
          <w:sz w:val="20"/>
          <w:szCs w:val="20"/>
          <w:lang w:eastAsia="hr-HR"/>
        </w:rPr>
      </w:pPr>
      <w:r w:rsidRPr="009E0336">
        <w:rPr>
          <w:rFonts w:ascii="Times New Roman" w:eastAsia="Times New Roman" w:hAnsi="Times New Roman" w:cs="Times New Roman"/>
          <w:kern w:val="0"/>
          <w:sz w:val="20"/>
          <w:szCs w:val="20"/>
          <w:lang w:eastAsia="hr-HR"/>
        </w:rPr>
        <w:t>Rashodi i izdaci Zavoda za razdoblje 202</w:t>
      </w:r>
      <w:r w:rsidR="0009043B" w:rsidRPr="009E0336">
        <w:rPr>
          <w:rFonts w:ascii="Times New Roman" w:eastAsia="Times New Roman" w:hAnsi="Times New Roman" w:cs="Times New Roman"/>
          <w:kern w:val="0"/>
          <w:sz w:val="20"/>
          <w:szCs w:val="20"/>
          <w:lang w:eastAsia="hr-HR"/>
        </w:rPr>
        <w:t>5</w:t>
      </w:r>
      <w:r w:rsidRPr="009E0336">
        <w:rPr>
          <w:rFonts w:ascii="Times New Roman" w:eastAsia="Times New Roman" w:hAnsi="Times New Roman" w:cs="Times New Roman"/>
          <w:kern w:val="0"/>
          <w:sz w:val="20"/>
          <w:szCs w:val="20"/>
          <w:lang w:eastAsia="hr-HR"/>
        </w:rPr>
        <w:t>.-202</w:t>
      </w:r>
      <w:r w:rsidR="0009043B" w:rsidRPr="009E0336">
        <w:rPr>
          <w:rFonts w:ascii="Times New Roman" w:eastAsia="Times New Roman" w:hAnsi="Times New Roman" w:cs="Times New Roman"/>
          <w:kern w:val="0"/>
          <w:sz w:val="20"/>
          <w:szCs w:val="20"/>
          <w:lang w:eastAsia="hr-HR"/>
        </w:rPr>
        <w:t>7</w:t>
      </w:r>
      <w:r w:rsidRPr="009E0336">
        <w:rPr>
          <w:rFonts w:ascii="Times New Roman" w:eastAsia="Times New Roman" w:hAnsi="Times New Roman" w:cs="Times New Roman"/>
          <w:kern w:val="0"/>
          <w:sz w:val="20"/>
          <w:szCs w:val="20"/>
          <w:lang w:eastAsia="hr-HR"/>
        </w:rPr>
        <w:t>.g. planiraju se uravnoteženi sa prihodima i primicima, po svim izvorima financiranja. Ukupno planirani rashodi u 202</w:t>
      </w:r>
      <w:r w:rsidR="00F82EFD" w:rsidRPr="009E0336">
        <w:rPr>
          <w:rFonts w:ascii="Times New Roman" w:eastAsia="Times New Roman" w:hAnsi="Times New Roman" w:cs="Times New Roman"/>
          <w:kern w:val="0"/>
          <w:sz w:val="20"/>
          <w:szCs w:val="20"/>
          <w:lang w:eastAsia="hr-HR"/>
        </w:rPr>
        <w:t>5</w:t>
      </w:r>
      <w:r w:rsidRPr="009E0336">
        <w:rPr>
          <w:rFonts w:ascii="Times New Roman" w:eastAsia="Times New Roman" w:hAnsi="Times New Roman" w:cs="Times New Roman"/>
          <w:kern w:val="0"/>
          <w:sz w:val="20"/>
          <w:szCs w:val="20"/>
          <w:lang w:eastAsia="hr-HR"/>
        </w:rPr>
        <w:t xml:space="preserve">.g. iznose </w:t>
      </w:r>
      <w:r w:rsidR="00F82EFD" w:rsidRPr="009E0336">
        <w:rPr>
          <w:rFonts w:ascii="Times New Roman" w:eastAsia="Times New Roman" w:hAnsi="Times New Roman" w:cs="Times New Roman"/>
          <w:kern w:val="0"/>
          <w:sz w:val="20"/>
          <w:szCs w:val="20"/>
          <w:lang w:eastAsia="hr-HR"/>
        </w:rPr>
        <w:t>33.076.00,00 €</w:t>
      </w:r>
      <w:r w:rsidRPr="009E0336">
        <w:rPr>
          <w:rFonts w:ascii="Times New Roman" w:eastAsia="Times New Roman" w:hAnsi="Times New Roman" w:cs="Times New Roman"/>
          <w:kern w:val="0"/>
          <w:sz w:val="20"/>
          <w:szCs w:val="20"/>
          <w:lang w:eastAsia="hr-HR"/>
        </w:rPr>
        <w:t xml:space="preserve">, što je </w:t>
      </w:r>
      <w:r w:rsidR="00F82EFD" w:rsidRPr="009E0336">
        <w:rPr>
          <w:rFonts w:ascii="Times New Roman" w:eastAsia="Times New Roman" w:hAnsi="Times New Roman" w:cs="Times New Roman"/>
          <w:kern w:val="0"/>
          <w:sz w:val="20"/>
          <w:szCs w:val="20"/>
          <w:lang w:eastAsia="hr-HR"/>
        </w:rPr>
        <w:t>542.363,94 €</w:t>
      </w:r>
      <w:r w:rsidRPr="009E0336">
        <w:rPr>
          <w:rFonts w:ascii="Times New Roman" w:eastAsia="Times New Roman" w:hAnsi="Times New Roman" w:cs="Times New Roman"/>
          <w:kern w:val="0"/>
          <w:sz w:val="20"/>
          <w:szCs w:val="20"/>
          <w:lang w:eastAsia="hr-HR"/>
        </w:rPr>
        <w:t xml:space="preserve"> ili </w:t>
      </w:r>
      <w:r w:rsidR="00F82EFD" w:rsidRPr="009E0336">
        <w:rPr>
          <w:rFonts w:ascii="Times New Roman" w:eastAsia="Times New Roman" w:hAnsi="Times New Roman" w:cs="Times New Roman"/>
          <w:kern w:val="0"/>
          <w:sz w:val="20"/>
          <w:szCs w:val="20"/>
          <w:lang w:eastAsia="hr-HR"/>
        </w:rPr>
        <w:t>1,6</w:t>
      </w:r>
      <w:r w:rsidRPr="009E0336">
        <w:rPr>
          <w:rFonts w:ascii="Times New Roman" w:eastAsia="Times New Roman" w:hAnsi="Times New Roman" w:cs="Times New Roman"/>
          <w:kern w:val="0"/>
          <w:sz w:val="20"/>
          <w:szCs w:val="20"/>
          <w:lang w:eastAsia="hr-HR"/>
        </w:rPr>
        <w:t xml:space="preserve"> % </w:t>
      </w:r>
      <w:r w:rsidR="00F82EFD" w:rsidRPr="009E0336">
        <w:rPr>
          <w:rFonts w:ascii="Times New Roman" w:eastAsia="Times New Roman" w:hAnsi="Times New Roman" w:cs="Times New Roman"/>
          <w:kern w:val="0"/>
          <w:sz w:val="20"/>
          <w:szCs w:val="20"/>
          <w:lang w:eastAsia="hr-HR"/>
        </w:rPr>
        <w:t>manje</w:t>
      </w:r>
      <w:r w:rsidRPr="009E0336">
        <w:rPr>
          <w:rFonts w:ascii="Times New Roman" w:eastAsia="Times New Roman" w:hAnsi="Times New Roman" w:cs="Times New Roman"/>
          <w:kern w:val="0"/>
          <w:sz w:val="20"/>
          <w:szCs w:val="20"/>
          <w:lang w:eastAsia="hr-HR"/>
        </w:rPr>
        <w:t xml:space="preserve"> od planiranog u planu 202</w:t>
      </w:r>
      <w:r w:rsidR="00F82EFD" w:rsidRPr="009E0336">
        <w:rPr>
          <w:rFonts w:ascii="Times New Roman" w:eastAsia="Times New Roman" w:hAnsi="Times New Roman" w:cs="Times New Roman"/>
          <w:kern w:val="0"/>
          <w:sz w:val="20"/>
          <w:szCs w:val="20"/>
          <w:lang w:eastAsia="hr-HR"/>
        </w:rPr>
        <w:t>4</w:t>
      </w:r>
      <w:r w:rsidRPr="009E0336">
        <w:rPr>
          <w:rFonts w:ascii="Times New Roman" w:eastAsia="Times New Roman" w:hAnsi="Times New Roman" w:cs="Times New Roman"/>
          <w:kern w:val="0"/>
          <w:sz w:val="20"/>
          <w:szCs w:val="20"/>
          <w:lang w:eastAsia="hr-HR"/>
        </w:rPr>
        <w:t xml:space="preserve">.g., odnosno </w:t>
      </w:r>
      <w:r w:rsidR="00F82EFD" w:rsidRPr="009E0336">
        <w:rPr>
          <w:rFonts w:ascii="Times New Roman" w:eastAsia="Times New Roman" w:hAnsi="Times New Roman" w:cs="Times New Roman"/>
          <w:kern w:val="0"/>
          <w:sz w:val="20"/>
          <w:szCs w:val="20"/>
          <w:lang w:eastAsia="hr-HR"/>
        </w:rPr>
        <w:t>11.338.320,64 €</w:t>
      </w:r>
      <w:r w:rsidRPr="009E0336">
        <w:rPr>
          <w:rFonts w:ascii="Times New Roman" w:eastAsia="Times New Roman" w:hAnsi="Times New Roman" w:cs="Times New Roman"/>
          <w:kern w:val="0"/>
          <w:sz w:val="20"/>
          <w:szCs w:val="20"/>
          <w:lang w:eastAsia="hr-HR"/>
        </w:rPr>
        <w:t xml:space="preserve"> ili </w:t>
      </w:r>
      <w:r w:rsidR="00F82EFD" w:rsidRPr="009E0336">
        <w:rPr>
          <w:rFonts w:ascii="Times New Roman" w:eastAsia="Times New Roman" w:hAnsi="Times New Roman" w:cs="Times New Roman"/>
          <w:kern w:val="0"/>
          <w:sz w:val="20"/>
          <w:szCs w:val="20"/>
          <w:lang w:eastAsia="hr-HR"/>
        </w:rPr>
        <w:t>52,2</w:t>
      </w:r>
      <w:r w:rsidRPr="009E0336">
        <w:rPr>
          <w:rFonts w:ascii="Times New Roman" w:eastAsia="Times New Roman" w:hAnsi="Times New Roman" w:cs="Times New Roman"/>
          <w:kern w:val="0"/>
          <w:sz w:val="20"/>
          <w:szCs w:val="20"/>
          <w:lang w:eastAsia="hr-HR"/>
        </w:rPr>
        <w:t xml:space="preserve"> % više od izvršenja u 202</w:t>
      </w:r>
      <w:r w:rsidR="00F82EFD" w:rsidRPr="009E0336">
        <w:rPr>
          <w:rFonts w:ascii="Times New Roman" w:eastAsia="Times New Roman" w:hAnsi="Times New Roman" w:cs="Times New Roman"/>
          <w:kern w:val="0"/>
          <w:sz w:val="20"/>
          <w:szCs w:val="20"/>
          <w:lang w:eastAsia="hr-HR"/>
        </w:rPr>
        <w:t>3</w:t>
      </w:r>
      <w:r w:rsidRPr="009E0336">
        <w:rPr>
          <w:rFonts w:ascii="Times New Roman" w:eastAsia="Times New Roman" w:hAnsi="Times New Roman" w:cs="Times New Roman"/>
          <w:kern w:val="0"/>
          <w:sz w:val="20"/>
          <w:szCs w:val="20"/>
          <w:lang w:eastAsia="hr-HR"/>
        </w:rPr>
        <w:t>.g. Ukupni rashodi u 202</w:t>
      </w:r>
      <w:r w:rsidR="00F82EFD" w:rsidRPr="009E0336">
        <w:rPr>
          <w:rFonts w:ascii="Times New Roman" w:eastAsia="Times New Roman" w:hAnsi="Times New Roman" w:cs="Times New Roman"/>
          <w:kern w:val="0"/>
          <w:sz w:val="20"/>
          <w:szCs w:val="20"/>
          <w:lang w:eastAsia="hr-HR"/>
        </w:rPr>
        <w:t>6</w:t>
      </w:r>
      <w:r w:rsidRPr="009E0336">
        <w:rPr>
          <w:rFonts w:ascii="Times New Roman" w:eastAsia="Times New Roman" w:hAnsi="Times New Roman" w:cs="Times New Roman"/>
          <w:kern w:val="0"/>
          <w:sz w:val="20"/>
          <w:szCs w:val="20"/>
          <w:lang w:eastAsia="hr-HR"/>
        </w:rPr>
        <w:t xml:space="preserve">.g. se procjenjuju u iznosu od </w:t>
      </w:r>
      <w:r w:rsidR="00F82EFD" w:rsidRPr="009E0336">
        <w:rPr>
          <w:rFonts w:ascii="Times New Roman" w:eastAsia="Times New Roman" w:hAnsi="Times New Roman" w:cs="Times New Roman"/>
          <w:kern w:val="0"/>
          <w:sz w:val="20"/>
          <w:szCs w:val="20"/>
          <w:lang w:eastAsia="hr-HR"/>
        </w:rPr>
        <w:t>33.251.000,00</w:t>
      </w:r>
      <w:r w:rsidRPr="009E0336">
        <w:rPr>
          <w:rFonts w:ascii="Times New Roman" w:eastAsia="Times New Roman" w:hAnsi="Times New Roman" w:cs="Times New Roman"/>
          <w:kern w:val="0"/>
          <w:sz w:val="20"/>
          <w:szCs w:val="20"/>
          <w:lang w:eastAsia="hr-HR"/>
        </w:rPr>
        <w:t xml:space="preserve"> </w:t>
      </w:r>
      <w:r w:rsidR="00F82EFD" w:rsidRPr="009E0336">
        <w:rPr>
          <w:rFonts w:ascii="Times New Roman" w:eastAsia="Times New Roman" w:hAnsi="Times New Roman" w:cs="Times New Roman"/>
          <w:kern w:val="0"/>
          <w:sz w:val="20"/>
          <w:szCs w:val="20"/>
          <w:lang w:eastAsia="hr-HR"/>
        </w:rPr>
        <w:t>€</w:t>
      </w:r>
      <w:r w:rsidRPr="009E0336">
        <w:rPr>
          <w:rFonts w:ascii="Times New Roman" w:eastAsia="Times New Roman" w:hAnsi="Times New Roman" w:cs="Times New Roman"/>
          <w:kern w:val="0"/>
          <w:sz w:val="20"/>
          <w:szCs w:val="20"/>
          <w:lang w:eastAsia="hr-HR"/>
        </w:rPr>
        <w:t xml:space="preserve"> što je </w:t>
      </w:r>
      <w:r w:rsidR="00F82EFD" w:rsidRPr="009E0336">
        <w:rPr>
          <w:rFonts w:ascii="Times New Roman" w:eastAsia="Times New Roman" w:hAnsi="Times New Roman" w:cs="Times New Roman"/>
          <w:kern w:val="0"/>
          <w:sz w:val="20"/>
          <w:szCs w:val="20"/>
          <w:lang w:eastAsia="hr-HR"/>
        </w:rPr>
        <w:t>175.000,00 €</w:t>
      </w:r>
      <w:r w:rsidRPr="009E0336">
        <w:rPr>
          <w:rFonts w:ascii="Times New Roman" w:eastAsia="Times New Roman" w:hAnsi="Times New Roman" w:cs="Times New Roman"/>
          <w:kern w:val="0"/>
          <w:sz w:val="20"/>
          <w:szCs w:val="20"/>
          <w:lang w:eastAsia="hr-HR"/>
        </w:rPr>
        <w:t xml:space="preserve"> ili </w:t>
      </w:r>
      <w:r w:rsidR="00F82EFD" w:rsidRPr="009E0336">
        <w:rPr>
          <w:rFonts w:ascii="Times New Roman" w:eastAsia="Times New Roman" w:hAnsi="Times New Roman" w:cs="Times New Roman"/>
          <w:kern w:val="0"/>
          <w:sz w:val="20"/>
          <w:szCs w:val="20"/>
          <w:lang w:eastAsia="hr-HR"/>
        </w:rPr>
        <w:t>0,5</w:t>
      </w:r>
      <w:r w:rsidRPr="009E0336">
        <w:rPr>
          <w:rFonts w:ascii="Times New Roman" w:eastAsia="Times New Roman" w:hAnsi="Times New Roman" w:cs="Times New Roman"/>
          <w:kern w:val="0"/>
          <w:sz w:val="20"/>
          <w:szCs w:val="20"/>
          <w:lang w:eastAsia="hr-HR"/>
        </w:rPr>
        <w:t xml:space="preserve"> % </w:t>
      </w:r>
      <w:r w:rsidR="00F82EFD" w:rsidRPr="009E0336">
        <w:rPr>
          <w:rFonts w:ascii="Times New Roman" w:eastAsia="Times New Roman" w:hAnsi="Times New Roman" w:cs="Times New Roman"/>
          <w:kern w:val="0"/>
          <w:sz w:val="20"/>
          <w:szCs w:val="20"/>
          <w:lang w:eastAsia="hr-HR"/>
        </w:rPr>
        <w:t>više</w:t>
      </w:r>
      <w:r w:rsidRPr="009E0336">
        <w:rPr>
          <w:rFonts w:ascii="Times New Roman" w:eastAsia="Times New Roman" w:hAnsi="Times New Roman" w:cs="Times New Roman"/>
          <w:kern w:val="0"/>
          <w:sz w:val="20"/>
          <w:szCs w:val="20"/>
          <w:lang w:eastAsia="hr-HR"/>
        </w:rPr>
        <w:t xml:space="preserve"> od planiranog u 202</w:t>
      </w:r>
      <w:r w:rsidR="00F82EFD" w:rsidRPr="009E0336">
        <w:rPr>
          <w:rFonts w:ascii="Times New Roman" w:eastAsia="Times New Roman" w:hAnsi="Times New Roman" w:cs="Times New Roman"/>
          <w:kern w:val="0"/>
          <w:sz w:val="20"/>
          <w:szCs w:val="20"/>
          <w:lang w:eastAsia="hr-HR"/>
        </w:rPr>
        <w:t>5</w:t>
      </w:r>
      <w:r w:rsidRPr="009E0336">
        <w:rPr>
          <w:rFonts w:ascii="Times New Roman" w:eastAsia="Times New Roman" w:hAnsi="Times New Roman" w:cs="Times New Roman"/>
          <w:kern w:val="0"/>
          <w:sz w:val="20"/>
          <w:szCs w:val="20"/>
          <w:lang w:eastAsia="hr-HR"/>
        </w:rPr>
        <w:t>.g., a projekcija za 202</w:t>
      </w:r>
      <w:r w:rsidR="00F82EFD" w:rsidRPr="009E0336">
        <w:rPr>
          <w:rFonts w:ascii="Times New Roman" w:eastAsia="Times New Roman" w:hAnsi="Times New Roman" w:cs="Times New Roman"/>
          <w:kern w:val="0"/>
          <w:sz w:val="20"/>
          <w:szCs w:val="20"/>
          <w:lang w:eastAsia="hr-HR"/>
        </w:rPr>
        <w:t>7</w:t>
      </w:r>
      <w:r w:rsidRPr="009E0336">
        <w:rPr>
          <w:rFonts w:ascii="Times New Roman" w:eastAsia="Times New Roman" w:hAnsi="Times New Roman" w:cs="Times New Roman"/>
          <w:kern w:val="0"/>
          <w:sz w:val="20"/>
          <w:szCs w:val="20"/>
          <w:lang w:eastAsia="hr-HR"/>
        </w:rPr>
        <w:t xml:space="preserve">.g. iznosi </w:t>
      </w:r>
      <w:r w:rsidR="00F82EFD" w:rsidRPr="009E0336">
        <w:rPr>
          <w:rFonts w:ascii="Times New Roman" w:eastAsia="Times New Roman" w:hAnsi="Times New Roman" w:cs="Times New Roman"/>
          <w:kern w:val="0"/>
          <w:sz w:val="20"/>
          <w:szCs w:val="20"/>
          <w:lang w:eastAsia="hr-HR"/>
        </w:rPr>
        <w:t>33.870.000,00 €</w:t>
      </w:r>
      <w:r w:rsidRPr="009E0336">
        <w:rPr>
          <w:rFonts w:ascii="Times New Roman" w:eastAsia="Times New Roman" w:hAnsi="Times New Roman" w:cs="Times New Roman"/>
          <w:kern w:val="0"/>
          <w:sz w:val="20"/>
          <w:szCs w:val="20"/>
          <w:lang w:eastAsia="hr-HR"/>
        </w:rPr>
        <w:t xml:space="preserve"> što je 158.000,00 eura ili </w:t>
      </w:r>
      <w:r w:rsidR="00F82EFD" w:rsidRPr="009E0336">
        <w:rPr>
          <w:rFonts w:ascii="Times New Roman" w:eastAsia="Times New Roman" w:hAnsi="Times New Roman" w:cs="Times New Roman"/>
          <w:kern w:val="0"/>
          <w:sz w:val="20"/>
          <w:szCs w:val="20"/>
          <w:lang w:eastAsia="hr-HR"/>
        </w:rPr>
        <w:t>1,9</w:t>
      </w:r>
      <w:r w:rsidRPr="009E0336">
        <w:rPr>
          <w:rFonts w:ascii="Times New Roman" w:eastAsia="Times New Roman" w:hAnsi="Times New Roman" w:cs="Times New Roman"/>
          <w:kern w:val="0"/>
          <w:sz w:val="20"/>
          <w:szCs w:val="20"/>
          <w:lang w:eastAsia="hr-HR"/>
        </w:rPr>
        <w:t xml:space="preserve"> % manje u odnosu na 202</w:t>
      </w:r>
      <w:r w:rsidR="00F82EFD" w:rsidRPr="009E0336">
        <w:rPr>
          <w:rFonts w:ascii="Times New Roman" w:eastAsia="Times New Roman" w:hAnsi="Times New Roman" w:cs="Times New Roman"/>
          <w:kern w:val="0"/>
          <w:sz w:val="20"/>
          <w:szCs w:val="20"/>
          <w:lang w:eastAsia="hr-HR"/>
        </w:rPr>
        <w:t>6</w:t>
      </w:r>
      <w:r w:rsidRPr="009E0336">
        <w:rPr>
          <w:rFonts w:ascii="Times New Roman" w:eastAsia="Times New Roman" w:hAnsi="Times New Roman" w:cs="Times New Roman"/>
          <w:kern w:val="0"/>
          <w:sz w:val="20"/>
          <w:szCs w:val="20"/>
          <w:lang w:eastAsia="hr-HR"/>
        </w:rPr>
        <w:t>.g.</w:t>
      </w:r>
    </w:p>
    <w:p w14:paraId="2702B32B" w14:textId="77777777" w:rsidR="005747F4" w:rsidRPr="009E0336" w:rsidRDefault="005747F4" w:rsidP="005747F4">
      <w:pPr>
        <w:widowControl/>
        <w:suppressAutoHyphens w:val="0"/>
        <w:autoSpaceDN/>
        <w:spacing w:after="0" w:line="240" w:lineRule="auto"/>
        <w:rPr>
          <w:rFonts w:ascii="Times New Roman" w:eastAsia="Times New Roman" w:hAnsi="Times New Roman" w:cs="Times New Roman"/>
          <w:kern w:val="0"/>
          <w:sz w:val="20"/>
          <w:szCs w:val="20"/>
          <w:lang w:eastAsia="hr-HR"/>
        </w:rPr>
      </w:pPr>
    </w:p>
    <w:p w14:paraId="2DA04845" w14:textId="77777777" w:rsidR="005747F4" w:rsidRPr="009E0336" w:rsidRDefault="005747F4" w:rsidP="005747F4">
      <w:pPr>
        <w:widowControl/>
        <w:suppressAutoHyphens w:val="0"/>
        <w:autoSpaceDN/>
        <w:spacing w:after="0" w:line="240" w:lineRule="auto"/>
        <w:rPr>
          <w:rFonts w:ascii="Times New Roman" w:hAnsi="Times New Roman" w:cs="Times New Roman"/>
          <w:sz w:val="20"/>
          <w:szCs w:val="20"/>
        </w:rPr>
      </w:pPr>
    </w:p>
    <w:p w14:paraId="79015C20" w14:textId="77777777" w:rsidR="005747F4" w:rsidRPr="009E0336" w:rsidRDefault="005747F4" w:rsidP="005747F4">
      <w:pPr>
        <w:spacing w:line="240" w:lineRule="auto"/>
        <w:rPr>
          <w:rFonts w:ascii="Times New Roman" w:hAnsi="Times New Roman" w:cs="Times New Roman"/>
          <w:b/>
          <w:bCs/>
          <w:sz w:val="20"/>
          <w:szCs w:val="20"/>
        </w:rPr>
      </w:pPr>
      <w:r w:rsidRPr="009E0336">
        <w:rPr>
          <w:rFonts w:ascii="Times New Roman" w:hAnsi="Times New Roman" w:cs="Times New Roman"/>
          <w:b/>
          <w:bCs/>
          <w:sz w:val="20"/>
          <w:szCs w:val="20"/>
        </w:rPr>
        <w:t>Rashodi poslovanja</w:t>
      </w:r>
    </w:p>
    <w:p w14:paraId="01EE077F" w14:textId="68CAF60C" w:rsidR="00EF6DB3" w:rsidRPr="009E0336" w:rsidRDefault="005747F4" w:rsidP="00EF6DB3">
      <w:pPr>
        <w:pStyle w:val="Standard"/>
        <w:jc w:val="both"/>
        <w:rPr>
          <w:rFonts w:eastAsia="Symbol"/>
          <w:kern w:val="0"/>
          <w:sz w:val="20"/>
          <w:szCs w:val="20"/>
          <w:lang w:val="pl-PL"/>
        </w:rPr>
      </w:pPr>
      <w:r w:rsidRPr="009E0336">
        <w:rPr>
          <w:sz w:val="20"/>
          <w:szCs w:val="20"/>
        </w:rPr>
        <w:t>Rashodi za zaposlene (skupina 31) - u 202</w:t>
      </w:r>
      <w:r w:rsidR="00EF6DB3" w:rsidRPr="009E0336">
        <w:rPr>
          <w:sz w:val="20"/>
          <w:szCs w:val="20"/>
        </w:rPr>
        <w:t>5</w:t>
      </w:r>
      <w:r w:rsidRPr="009E0336">
        <w:rPr>
          <w:sz w:val="20"/>
          <w:szCs w:val="20"/>
        </w:rPr>
        <w:t xml:space="preserve">.g. planiraju se u iznosu od </w:t>
      </w:r>
      <w:r w:rsidR="00EF6DB3" w:rsidRPr="009E0336">
        <w:rPr>
          <w:sz w:val="20"/>
          <w:szCs w:val="20"/>
        </w:rPr>
        <w:t>26.513.000,00 €</w:t>
      </w:r>
      <w:r w:rsidRPr="009E0336">
        <w:rPr>
          <w:sz w:val="20"/>
          <w:szCs w:val="20"/>
        </w:rPr>
        <w:t xml:space="preserve"> što je </w:t>
      </w:r>
      <w:r w:rsidR="00EF6DB3" w:rsidRPr="009E0336">
        <w:rPr>
          <w:sz w:val="20"/>
          <w:szCs w:val="20"/>
        </w:rPr>
        <w:t>462.000,00 €</w:t>
      </w:r>
      <w:r w:rsidRPr="009E0336">
        <w:rPr>
          <w:sz w:val="20"/>
          <w:szCs w:val="20"/>
        </w:rPr>
        <w:t xml:space="preserve"> ili 1,</w:t>
      </w:r>
      <w:r w:rsidR="00EF6DB3" w:rsidRPr="009E0336">
        <w:rPr>
          <w:sz w:val="20"/>
          <w:szCs w:val="20"/>
        </w:rPr>
        <w:t>7</w:t>
      </w:r>
      <w:r w:rsidRPr="009E0336">
        <w:rPr>
          <w:sz w:val="20"/>
          <w:szCs w:val="20"/>
        </w:rPr>
        <w:t xml:space="preserve"> % </w:t>
      </w:r>
      <w:r w:rsidR="00EF6DB3" w:rsidRPr="009E0336">
        <w:rPr>
          <w:sz w:val="20"/>
          <w:szCs w:val="20"/>
        </w:rPr>
        <w:t>manje</w:t>
      </w:r>
      <w:r w:rsidRPr="009E0336">
        <w:rPr>
          <w:sz w:val="20"/>
          <w:szCs w:val="20"/>
        </w:rPr>
        <w:t xml:space="preserve"> u odnosu na </w:t>
      </w:r>
      <w:r w:rsidR="00EF6DB3" w:rsidRPr="009E0336">
        <w:rPr>
          <w:sz w:val="20"/>
          <w:szCs w:val="20"/>
        </w:rPr>
        <w:t>Rebalans br. I u 2024.g.</w:t>
      </w:r>
      <w:r w:rsidRPr="009E0336">
        <w:rPr>
          <w:sz w:val="20"/>
          <w:szCs w:val="20"/>
        </w:rPr>
        <w:t xml:space="preserve">, odnosno </w:t>
      </w:r>
      <w:r w:rsidR="00EF6DB3" w:rsidRPr="009E0336">
        <w:rPr>
          <w:sz w:val="20"/>
          <w:szCs w:val="20"/>
        </w:rPr>
        <w:t>9.101.354,37 €</w:t>
      </w:r>
      <w:r w:rsidRPr="009E0336">
        <w:rPr>
          <w:sz w:val="20"/>
          <w:szCs w:val="20"/>
        </w:rPr>
        <w:t xml:space="preserve"> ili </w:t>
      </w:r>
      <w:r w:rsidR="00EF6DB3" w:rsidRPr="009E0336">
        <w:rPr>
          <w:sz w:val="20"/>
          <w:szCs w:val="20"/>
        </w:rPr>
        <w:t>52,3</w:t>
      </w:r>
      <w:r w:rsidRPr="009E0336">
        <w:rPr>
          <w:sz w:val="20"/>
          <w:szCs w:val="20"/>
        </w:rPr>
        <w:t>% više u odnosu na izvršenje u 202</w:t>
      </w:r>
      <w:r w:rsidR="00EF6DB3" w:rsidRPr="009E0336">
        <w:rPr>
          <w:sz w:val="20"/>
          <w:szCs w:val="20"/>
        </w:rPr>
        <w:t>3</w:t>
      </w:r>
      <w:r w:rsidRPr="009E0336">
        <w:rPr>
          <w:sz w:val="20"/>
          <w:szCs w:val="20"/>
        </w:rPr>
        <w:t xml:space="preserve">.g. Rashodi za zaposlene planiraju se sukladno Kolektivnom ugovoru za djelatnost zdravstva i zdravstvenog osiguranja, </w:t>
      </w:r>
      <w:r w:rsidR="00EF6DB3" w:rsidRPr="009E0336">
        <w:rPr>
          <w:sz w:val="20"/>
          <w:szCs w:val="20"/>
        </w:rPr>
        <w:t xml:space="preserve">Uredbi o nazivima radnih mjesta, uvjetima za raspored i koeficijentima za obračun plaće u javnim službama </w:t>
      </w:r>
      <w:r w:rsidR="00820317" w:rsidRPr="009E0336">
        <w:rPr>
          <w:sz w:val="20"/>
          <w:szCs w:val="20"/>
        </w:rPr>
        <w:t>(</w:t>
      </w:r>
      <w:r w:rsidR="00EF6DB3" w:rsidRPr="009E0336">
        <w:rPr>
          <w:sz w:val="20"/>
          <w:szCs w:val="20"/>
        </w:rPr>
        <w:t>NN 22/24)</w:t>
      </w:r>
      <w:r w:rsidRPr="009E0336">
        <w:rPr>
          <w:sz w:val="20"/>
          <w:szCs w:val="20"/>
        </w:rPr>
        <w:t>, potrebnom broju timova hitne medicine i sanitetskog prijevoza ugovorenih s HZZO-m</w:t>
      </w:r>
      <w:r w:rsidR="00820317" w:rsidRPr="009E0336">
        <w:rPr>
          <w:sz w:val="20"/>
          <w:szCs w:val="20"/>
        </w:rPr>
        <w:t xml:space="preserve"> (sukladno Mreži)</w:t>
      </w:r>
      <w:r w:rsidRPr="009E0336">
        <w:rPr>
          <w:sz w:val="20"/>
          <w:szCs w:val="20"/>
        </w:rPr>
        <w:t xml:space="preserve"> i s jedinicama lokalne i područne (regionalne) samouprave i režijskog osoblja, te specijalističkih usavršavanja iz hitne medicine i isplata sudskih presuda. Povećanje rashoda za zaposlene u 202</w:t>
      </w:r>
      <w:r w:rsidR="00EF6DB3" w:rsidRPr="009E0336">
        <w:rPr>
          <w:sz w:val="20"/>
          <w:szCs w:val="20"/>
        </w:rPr>
        <w:t>5</w:t>
      </w:r>
      <w:r w:rsidRPr="009E0336">
        <w:rPr>
          <w:sz w:val="20"/>
          <w:szCs w:val="20"/>
        </w:rPr>
        <w:t xml:space="preserve">.g. posljedica je </w:t>
      </w:r>
      <w:r w:rsidR="00EF6DB3" w:rsidRPr="009E0336">
        <w:rPr>
          <w:sz w:val="20"/>
          <w:szCs w:val="20"/>
        </w:rPr>
        <w:t xml:space="preserve">daljnjeg usklađenja s proširenom Mrežom, većeg broja </w:t>
      </w:r>
      <w:r w:rsidR="00EF6DB3" w:rsidRPr="009E0336">
        <w:rPr>
          <w:iCs/>
          <w:sz w:val="20"/>
          <w:szCs w:val="20"/>
        </w:rPr>
        <w:t>medicinskih tehničara sa završenim specijalističkim usavršavanjem iz  hitne medicine</w:t>
      </w:r>
      <w:r w:rsidR="00936375" w:rsidRPr="009E0336">
        <w:rPr>
          <w:iCs/>
          <w:sz w:val="20"/>
          <w:szCs w:val="20"/>
        </w:rPr>
        <w:t>, povećanja od 0,5 % za minuli staž</w:t>
      </w:r>
      <w:r w:rsidR="00EF6DB3" w:rsidRPr="009E0336">
        <w:rPr>
          <w:iCs/>
          <w:sz w:val="20"/>
          <w:szCs w:val="20"/>
        </w:rPr>
        <w:t xml:space="preserve"> te ukidanje olakšice oslobođenja od obveze doprinosa na plaću za mlade osobe (do 30 godina života).</w:t>
      </w:r>
    </w:p>
    <w:p w14:paraId="3AB1BCC3" w14:textId="6BF61E3B" w:rsidR="00D71F92" w:rsidRPr="009E0336" w:rsidRDefault="005747F4" w:rsidP="005747F4">
      <w:pPr>
        <w:spacing w:line="240" w:lineRule="auto"/>
        <w:jc w:val="both"/>
        <w:rPr>
          <w:rFonts w:ascii="Times New Roman" w:hAnsi="Times New Roman" w:cs="Times New Roman"/>
          <w:sz w:val="20"/>
          <w:szCs w:val="20"/>
        </w:rPr>
      </w:pPr>
      <w:r w:rsidRPr="009E0336">
        <w:rPr>
          <w:rFonts w:ascii="Times New Roman" w:hAnsi="Times New Roman" w:cs="Times New Roman"/>
          <w:sz w:val="20"/>
          <w:szCs w:val="20"/>
        </w:rPr>
        <w:t>Projekcija za 202</w:t>
      </w:r>
      <w:r w:rsidR="00EF6DB3" w:rsidRPr="009E0336">
        <w:rPr>
          <w:rFonts w:ascii="Times New Roman" w:hAnsi="Times New Roman" w:cs="Times New Roman"/>
          <w:sz w:val="20"/>
          <w:szCs w:val="20"/>
        </w:rPr>
        <w:t>6</w:t>
      </w:r>
      <w:r w:rsidRPr="009E0336">
        <w:rPr>
          <w:rFonts w:ascii="Times New Roman" w:hAnsi="Times New Roman" w:cs="Times New Roman"/>
          <w:sz w:val="20"/>
          <w:szCs w:val="20"/>
        </w:rPr>
        <w:t xml:space="preserve">.g. iznosi </w:t>
      </w:r>
      <w:r w:rsidR="00EF6DB3" w:rsidRPr="009E0336">
        <w:rPr>
          <w:rFonts w:ascii="Times New Roman" w:hAnsi="Times New Roman" w:cs="Times New Roman"/>
          <w:sz w:val="20"/>
          <w:szCs w:val="20"/>
        </w:rPr>
        <w:t>26.393.000,00 €</w:t>
      </w:r>
      <w:r w:rsidRPr="009E0336">
        <w:rPr>
          <w:rFonts w:ascii="Times New Roman" w:hAnsi="Times New Roman" w:cs="Times New Roman"/>
          <w:sz w:val="20"/>
          <w:szCs w:val="20"/>
        </w:rPr>
        <w:t xml:space="preserve"> što je </w:t>
      </w:r>
      <w:r w:rsidR="00D71F92" w:rsidRPr="009E0336">
        <w:rPr>
          <w:rFonts w:ascii="Times New Roman" w:hAnsi="Times New Roman" w:cs="Times New Roman"/>
          <w:sz w:val="20"/>
          <w:szCs w:val="20"/>
        </w:rPr>
        <w:t>120.000,00 €</w:t>
      </w:r>
      <w:r w:rsidRPr="009E0336">
        <w:rPr>
          <w:rFonts w:ascii="Times New Roman" w:hAnsi="Times New Roman" w:cs="Times New Roman"/>
          <w:sz w:val="20"/>
          <w:szCs w:val="20"/>
        </w:rPr>
        <w:t xml:space="preserve"> ili </w:t>
      </w:r>
      <w:r w:rsidR="00D71F92" w:rsidRPr="009E0336">
        <w:rPr>
          <w:rFonts w:ascii="Times New Roman" w:hAnsi="Times New Roman" w:cs="Times New Roman"/>
          <w:sz w:val="20"/>
          <w:szCs w:val="20"/>
        </w:rPr>
        <w:t>0,5</w:t>
      </w:r>
      <w:r w:rsidRPr="009E0336">
        <w:rPr>
          <w:rFonts w:ascii="Times New Roman" w:hAnsi="Times New Roman" w:cs="Times New Roman"/>
          <w:sz w:val="20"/>
          <w:szCs w:val="20"/>
        </w:rPr>
        <w:t xml:space="preserve"> % manje od planiranog u 202</w:t>
      </w:r>
      <w:r w:rsidR="00D71F92" w:rsidRPr="009E0336">
        <w:rPr>
          <w:rFonts w:ascii="Times New Roman" w:hAnsi="Times New Roman" w:cs="Times New Roman"/>
          <w:sz w:val="20"/>
          <w:szCs w:val="20"/>
        </w:rPr>
        <w:t>5</w:t>
      </w:r>
      <w:r w:rsidRPr="009E0336">
        <w:rPr>
          <w:rFonts w:ascii="Times New Roman" w:hAnsi="Times New Roman" w:cs="Times New Roman"/>
          <w:sz w:val="20"/>
          <w:szCs w:val="20"/>
        </w:rPr>
        <w:t>.g.</w:t>
      </w:r>
      <w:r w:rsidR="007A262E" w:rsidRPr="009E0336">
        <w:rPr>
          <w:rFonts w:ascii="Times New Roman" w:hAnsi="Times New Roman" w:cs="Times New Roman"/>
          <w:sz w:val="20"/>
          <w:szCs w:val="20"/>
        </w:rPr>
        <w:t xml:space="preserve"> (</w:t>
      </w:r>
      <w:r w:rsidR="00403092" w:rsidRPr="009E0336">
        <w:rPr>
          <w:rFonts w:ascii="Times New Roman" w:hAnsi="Times New Roman" w:cs="Times New Roman"/>
          <w:sz w:val="20"/>
          <w:szCs w:val="20"/>
        </w:rPr>
        <w:t>zbog završetka specijalističkog usavršavanja medicinskih tehničara iz hitne medicine i jer</w:t>
      </w:r>
      <w:r w:rsidR="007A262E" w:rsidRPr="009E0336">
        <w:rPr>
          <w:rFonts w:ascii="Times New Roman" w:hAnsi="Times New Roman" w:cs="Times New Roman"/>
          <w:sz w:val="20"/>
          <w:szCs w:val="20"/>
        </w:rPr>
        <w:t xml:space="preserve"> </w:t>
      </w:r>
      <w:r w:rsidR="00CF6EA3" w:rsidRPr="009E0336">
        <w:rPr>
          <w:rFonts w:ascii="Times New Roman" w:hAnsi="Times New Roman" w:cs="Times New Roman"/>
          <w:sz w:val="20"/>
          <w:szCs w:val="20"/>
        </w:rPr>
        <w:t xml:space="preserve">će sve </w:t>
      </w:r>
      <w:r w:rsidR="007A262E" w:rsidRPr="009E0336">
        <w:rPr>
          <w:rFonts w:ascii="Times New Roman" w:hAnsi="Times New Roman" w:cs="Times New Roman"/>
          <w:sz w:val="20"/>
          <w:szCs w:val="20"/>
        </w:rPr>
        <w:t>sudske presude za prekovremeni rad</w:t>
      </w:r>
      <w:r w:rsidR="00CF6EA3" w:rsidRPr="009E0336">
        <w:rPr>
          <w:rFonts w:ascii="Times New Roman" w:hAnsi="Times New Roman" w:cs="Times New Roman"/>
          <w:sz w:val="20"/>
          <w:szCs w:val="20"/>
        </w:rPr>
        <w:t xml:space="preserve"> biti isplaćene u 2025.g.</w:t>
      </w:r>
      <w:r w:rsidR="007A262E" w:rsidRPr="009E0336">
        <w:rPr>
          <w:rFonts w:ascii="Times New Roman" w:hAnsi="Times New Roman" w:cs="Times New Roman"/>
          <w:sz w:val="20"/>
          <w:szCs w:val="20"/>
        </w:rPr>
        <w:t>),</w:t>
      </w:r>
      <w:r w:rsidRPr="009E0336">
        <w:rPr>
          <w:rFonts w:ascii="Times New Roman" w:hAnsi="Times New Roman" w:cs="Times New Roman"/>
          <w:sz w:val="20"/>
          <w:szCs w:val="20"/>
        </w:rPr>
        <w:t xml:space="preserve"> dok projekcija za 202</w:t>
      </w:r>
      <w:r w:rsidR="00D71F92" w:rsidRPr="009E0336">
        <w:rPr>
          <w:rFonts w:ascii="Times New Roman" w:hAnsi="Times New Roman" w:cs="Times New Roman"/>
          <w:sz w:val="20"/>
          <w:szCs w:val="20"/>
        </w:rPr>
        <w:t>7</w:t>
      </w:r>
      <w:r w:rsidRPr="009E0336">
        <w:rPr>
          <w:rFonts w:ascii="Times New Roman" w:hAnsi="Times New Roman" w:cs="Times New Roman"/>
          <w:sz w:val="20"/>
          <w:szCs w:val="20"/>
        </w:rPr>
        <w:t xml:space="preserve">.g. iznosi </w:t>
      </w:r>
      <w:r w:rsidR="00D71F92" w:rsidRPr="009E0336">
        <w:rPr>
          <w:rFonts w:ascii="Times New Roman" w:hAnsi="Times New Roman" w:cs="Times New Roman"/>
          <w:sz w:val="20"/>
          <w:szCs w:val="20"/>
        </w:rPr>
        <w:t>26.944.000,00 €</w:t>
      </w:r>
      <w:r w:rsidRPr="009E0336">
        <w:rPr>
          <w:rFonts w:ascii="Times New Roman" w:hAnsi="Times New Roman" w:cs="Times New Roman"/>
          <w:sz w:val="20"/>
          <w:szCs w:val="20"/>
        </w:rPr>
        <w:t xml:space="preserve"> što je </w:t>
      </w:r>
      <w:r w:rsidR="00D71F92" w:rsidRPr="009E0336">
        <w:rPr>
          <w:rFonts w:ascii="Times New Roman" w:hAnsi="Times New Roman" w:cs="Times New Roman"/>
          <w:sz w:val="20"/>
          <w:szCs w:val="20"/>
        </w:rPr>
        <w:t xml:space="preserve">551.000,00 </w:t>
      </w:r>
      <w:r w:rsidR="00820317" w:rsidRPr="009E0336">
        <w:rPr>
          <w:rFonts w:ascii="Times New Roman" w:hAnsi="Times New Roman" w:cs="Times New Roman"/>
          <w:sz w:val="20"/>
          <w:szCs w:val="20"/>
        </w:rPr>
        <w:t>€</w:t>
      </w:r>
      <w:r w:rsidRPr="009E0336">
        <w:rPr>
          <w:rFonts w:ascii="Times New Roman" w:hAnsi="Times New Roman" w:cs="Times New Roman"/>
          <w:sz w:val="20"/>
          <w:szCs w:val="20"/>
        </w:rPr>
        <w:t xml:space="preserve"> ili </w:t>
      </w:r>
      <w:r w:rsidR="00D71F92" w:rsidRPr="009E0336">
        <w:rPr>
          <w:rFonts w:ascii="Times New Roman" w:hAnsi="Times New Roman" w:cs="Times New Roman"/>
          <w:sz w:val="20"/>
          <w:szCs w:val="20"/>
        </w:rPr>
        <w:t xml:space="preserve">2,1 </w:t>
      </w:r>
      <w:r w:rsidRPr="009E0336">
        <w:rPr>
          <w:rFonts w:ascii="Times New Roman" w:hAnsi="Times New Roman" w:cs="Times New Roman"/>
          <w:sz w:val="20"/>
          <w:szCs w:val="20"/>
        </w:rPr>
        <w:t xml:space="preserve">% </w:t>
      </w:r>
      <w:r w:rsidR="00820317" w:rsidRPr="009E0336">
        <w:rPr>
          <w:rFonts w:ascii="Times New Roman" w:hAnsi="Times New Roman" w:cs="Times New Roman"/>
          <w:sz w:val="20"/>
          <w:szCs w:val="20"/>
        </w:rPr>
        <w:t>više</w:t>
      </w:r>
      <w:r w:rsidRPr="009E0336">
        <w:rPr>
          <w:rFonts w:ascii="Times New Roman" w:hAnsi="Times New Roman" w:cs="Times New Roman"/>
          <w:sz w:val="20"/>
          <w:szCs w:val="20"/>
        </w:rPr>
        <w:t xml:space="preserve"> od 202</w:t>
      </w:r>
      <w:r w:rsidR="00D71F92" w:rsidRPr="009E0336">
        <w:rPr>
          <w:rFonts w:ascii="Times New Roman" w:hAnsi="Times New Roman" w:cs="Times New Roman"/>
          <w:sz w:val="20"/>
          <w:szCs w:val="20"/>
        </w:rPr>
        <w:t>6</w:t>
      </w:r>
      <w:r w:rsidRPr="009E0336">
        <w:rPr>
          <w:rFonts w:ascii="Times New Roman" w:hAnsi="Times New Roman" w:cs="Times New Roman"/>
          <w:sz w:val="20"/>
          <w:szCs w:val="20"/>
        </w:rPr>
        <w:t>.g.</w:t>
      </w:r>
      <w:r w:rsidR="007A262E" w:rsidRPr="009E0336">
        <w:rPr>
          <w:rFonts w:ascii="Times New Roman" w:hAnsi="Times New Roman" w:cs="Times New Roman"/>
          <w:sz w:val="20"/>
          <w:szCs w:val="20"/>
        </w:rPr>
        <w:t xml:space="preserve"> jer će se posljedice ukidanja olakšice za mlade osobe više odraziti na 2027.g. </w:t>
      </w:r>
    </w:p>
    <w:p w14:paraId="39726C67" w14:textId="02B279D0" w:rsidR="005747F4" w:rsidRPr="009E0336" w:rsidRDefault="005747F4" w:rsidP="005747F4">
      <w:pPr>
        <w:spacing w:line="240" w:lineRule="auto"/>
        <w:jc w:val="both"/>
        <w:rPr>
          <w:rFonts w:ascii="Times New Roman" w:hAnsi="Times New Roman" w:cs="Times New Roman"/>
          <w:sz w:val="20"/>
          <w:szCs w:val="20"/>
        </w:rPr>
      </w:pPr>
      <w:r w:rsidRPr="009E0336">
        <w:rPr>
          <w:rFonts w:ascii="Times New Roman" w:hAnsi="Times New Roman" w:cs="Times New Roman"/>
          <w:sz w:val="20"/>
          <w:szCs w:val="20"/>
        </w:rPr>
        <w:t>Materijalni rashodi (skupina 32) - u 202</w:t>
      </w:r>
      <w:r w:rsidR="00936375" w:rsidRPr="009E0336">
        <w:rPr>
          <w:rFonts w:ascii="Times New Roman" w:hAnsi="Times New Roman" w:cs="Times New Roman"/>
          <w:sz w:val="20"/>
          <w:szCs w:val="20"/>
        </w:rPr>
        <w:t>5</w:t>
      </w:r>
      <w:r w:rsidRPr="009E0336">
        <w:rPr>
          <w:rFonts w:ascii="Times New Roman" w:hAnsi="Times New Roman" w:cs="Times New Roman"/>
          <w:sz w:val="20"/>
          <w:szCs w:val="20"/>
        </w:rPr>
        <w:t xml:space="preserve">.g. planiraju se u iznosu od </w:t>
      </w:r>
      <w:r w:rsidR="00936375" w:rsidRPr="009E0336">
        <w:rPr>
          <w:rFonts w:ascii="Times New Roman" w:hAnsi="Times New Roman" w:cs="Times New Roman"/>
          <w:sz w:val="20"/>
          <w:szCs w:val="20"/>
        </w:rPr>
        <w:t>4.356.000,00 €</w:t>
      </w:r>
      <w:r w:rsidRPr="009E0336">
        <w:rPr>
          <w:rFonts w:ascii="Times New Roman" w:hAnsi="Times New Roman" w:cs="Times New Roman"/>
          <w:sz w:val="20"/>
          <w:szCs w:val="20"/>
        </w:rPr>
        <w:t xml:space="preserve"> što je </w:t>
      </w:r>
      <w:r w:rsidR="00936375" w:rsidRPr="009E0336">
        <w:rPr>
          <w:rFonts w:ascii="Times New Roman" w:hAnsi="Times New Roman" w:cs="Times New Roman"/>
          <w:sz w:val="20"/>
          <w:szCs w:val="20"/>
        </w:rPr>
        <w:t>49.000,00 €</w:t>
      </w:r>
      <w:r w:rsidRPr="009E0336">
        <w:rPr>
          <w:rFonts w:ascii="Times New Roman" w:hAnsi="Times New Roman" w:cs="Times New Roman"/>
          <w:sz w:val="20"/>
          <w:szCs w:val="20"/>
        </w:rPr>
        <w:t xml:space="preserve"> ili 1</w:t>
      </w:r>
      <w:r w:rsidR="00936375" w:rsidRPr="009E0336">
        <w:rPr>
          <w:rFonts w:ascii="Times New Roman" w:hAnsi="Times New Roman" w:cs="Times New Roman"/>
          <w:sz w:val="20"/>
          <w:szCs w:val="20"/>
        </w:rPr>
        <w:t>,1</w:t>
      </w:r>
      <w:r w:rsidRPr="009E0336">
        <w:rPr>
          <w:rFonts w:ascii="Times New Roman" w:hAnsi="Times New Roman" w:cs="Times New Roman"/>
          <w:sz w:val="20"/>
          <w:szCs w:val="20"/>
        </w:rPr>
        <w:t xml:space="preserve"> % više u odnosu na </w:t>
      </w:r>
      <w:r w:rsidR="00936375" w:rsidRPr="009E0336">
        <w:rPr>
          <w:rFonts w:ascii="Times New Roman" w:hAnsi="Times New Roman" w:cs="Times New Roman"/>
          <w:sz w:val="20"/>
          <w:szCs w:val="20"/>
        </w:rPr>
        <w:t>Rebalans br. I u 2024.g.</w:t>
      </w:r>
      <w:r w:rsidRPr="009E0336">
        <w:rPr>
          <w:rFonts w:ascii="Times New Roman" w:hAnsi="Times New Roman" w:cs="Times New Roman"/>
          <w:sz w:val="20"/>
          <w:szCs w:val="20"/>
        </w:rPr>
        <w:t xml:space="preserve">, odnosno </w:t>
      </w:r>
      <w:r w:rsidR="00936375" w:rsidRPr="009E0336">
        <w:rPr>
          <w:rFonts w:ascii="Times New Roman" w:hAnsi="Times New Roman" w:cs="Times New Roman"/>
          <w:sz w:val="20"/>
          <w:szCs w:val="20"/>
        </w:rPr>
        <w:t>1.363.354,10 €</w:t>
      </w:r>
      <w:r w:rsidRPr="009E0336">
        <w:rPr>
          <w:rFonts w:ascii="Times New Roman" w:hAnsi="Times New Roman" w:cs="Times New Roman"/>
          <w:sz w:val="20"/>
          <w:szCs w:val="20"/>
        </w:rPr>
        <w:t xml:space="preserve"> ili </w:t>
      </w:r>
      <w:r w:rsidR="00936375" w:rsidRPr="009E0336">
        <w:rPr>
          <w:rFonts w:ascii="Times New Roman" w:hAnsi="Times New Roman" w:cs="Times New Roman"/>
          <w:sz w:val="20"/>
          <w:szCs w:val="20"/>
        </w:rPr>
        <w:t>45,6</w:t>
      </w:r>
      <w:r w:rsidRPr="009E0336">
        <w:rPr>
          <w:rFonts w:ascii="Times New Roman" w:hAnsi="Times New Roman" w:cs="Times New Roman"/>
          <w:sz w:val="20"/>
          <w:szCs w:val="20"/>
        </w:rPr>
        <w:t>% više u odnosu na izvršenje u 202</w:t>
      </w:r>
      <w:r w:rsidR="00936375" w:rsidRPr="009E0336">
        <w:rPr>
          <w:rFonts w:ascii="Times New Roman" w:hAnsi="Times New Roman" w:cs="Times New Roman"/>
          <w:sz w:val="20"/>
          <w:szCs w:val="20"/>
        </w:rPr>
        <w:t>3</w:t>
      </w:r>
      <w:r w:rsidRPr="009E0336">
        <w:rPr>
          <w:rFonts w:ascii="Times New Roman" w:hAnsi="Times New Roman" w:cs="Times New Roman"/>
          <w:sz w:val="20"/>
          <w:szCs w:val="20"/>
        </w:rPr>
        <w:t>.g. Materijalni rashodi planiraju se na osnovu izvršenja rashoda do kolovoza 202</w:t>
      </w:r>
      <w:r w:rsidR="00936375" w:rsidRPr="009E0336">
        <w:rPr>
          <w:rFonts w:ascii="Times New Roman" w:hAnsi="Times New Roman" w:cs="Times New Roman"/>
          <w:sz w:val="20"/>
          <w:szCs w:val="20"/>
        </w:rPr>
        <w:t>4</w:t>
      </w:r>
      <w:r w:rsidRPr="009E0336">
        <w:rPr>
          <w:rFonts w:ascii="Times New Roman" w:hAnsi="Times New Roman" w:cs="Times New Roman"/>
          <w:sz w:val="20"/>
          <w:szCs w:val="20"/>
        </w:rPr>
        <w:t>.g., iskazanih  potreba nužnih za redovno poslovanje Zavoda</w:t>
      </w:r>
      <w:r w:rsidR="00936375" w:rsidRPr="009E0336">
        <w:rPr>
          <w:rFonts w:ascii="Times New Roman" w:hAnsi="Times New Roman" w:cs="Times New Roman"/>
          <w:sz w:val="20"/>
          <w:szCs w:val="20"/>
        </w:rPr>
        <w:t>,</w:t>
      </w:r>
      <w:r w:rsidRPr="009E0336">
        <w:rPr>
          <w:rFonts w:ascii="Times New Roman" w:hAnsi="Times New Roman" w:cs="Times New Roman"/>
          <w:sz w:val="20"/>
          <w:szCs w:val="20"/>
        </w:rPr>
        <w:t xml:space="preserve"> te porasta cijena uslijed inflatornih kretanja na tržištu. Povećanje materijalnih rashoda posljedica je </w:t>
      </w:r>
      <w:r w:rsidR="00936375" w:rsidRPr="009E0336">
        <w:rPr>
          <w:rFonts w:ascii="Times New Roman" w:hAnsi="Times New Roman" w:cs="Times New Roman"/>
          <w:sz w:val="20"/>
          <w:szCs w:val="20"/>
        </w:rPr>
        <w:t xml:space="preserve">većeg programa rada sukladno proširenoj Mreži, većeg </w:t>
      </w:r>
      <w:r w:rsidRPr="009E0336">
        <w:rPr>
          <w:rFonts w:ascii="Times New Roman" w:hAnsi="Times New Roman" w:cs="Times New Roman"/>
          <w:sz w:val="20"/>
          <w:szCs w:val="20"/>
        </w:rPr>
        <w:t>broja medicinskih tehničara na specijalističkom usavršavanju iz hitne medicine te porasta cijena na tržištu. U 202</w:t>
      </w:r>
      <w:r w:rsidR="00936375" w:rsidRPr="009E0336">
        <w:rPr>
          <w:rFonts w:ascii="Times New Roman" w:hAnsi="Times New Roman" w:cs="Times New Roman"/>
          <w:sz w:val="20"/>
          <w:szCs w:val="20"/>
        </w:rPr>
        <w:t>6</w:t>
      </w:r>
      <w:r w:rsidRPr="009E0336">
        <w:rPr>
          <w:rFonts w:ascii="Times New Roman" w:hAnsi="Times New Roman" w:cs="Times New Roman"/>
          <w:sz w:val="20"/>
          <w:szCs w:val="20"/>
        </w:rPr>
        <w:t xml:space="preserve">.g. ova vrsta rashoda se planira u iznosu od </w:t>
      </w:r>
      <w:r w:rsidR="00936375" w:rsidRPr="009E0336">
        <w:rPr>
          <w:rFonts w:ascii="Times New Roman" w:hAnsi="Times New Roman" w:cs="Times New Roman"/>
          <w:sz w:val="20"/>
          <w:szCs w:val="20"/>
        </w:rPr>
        <w:t>4.388.000,00 €</w:t>
      </w:r>
      <w:r w:rsidRPr="009E0336">
        <w:rPr>
          <w:rFonts w:ascii="Times New Roman" w:hAnsi="Times New Roman" w:cs="Times New Roman"/>
          <w:sz w:val="20"/>
          <w:szCs w:val="20"/>
        </w:rPr>
        <w:t xml:space="preserve"> što je </w:t>
      </w:r>
      <w:r w:rsidR="00936375" w:rsidRPr="009E0336">
        <w:rPr>
          <w:rFonts w:ascii="Times New Roman" w:hAnsi="Times New Roman" w:cs="Times New Roman"/>
          <w:sz w:val="20"/>
          <w:szCs w:val="20"/>
        </w:rPr>
        <w:t>32.000,00 €</w:t>
      </w:r>
      <w:r w:rsidRPr="009E0336">
        <w:rPr>
          <w:rFonts w:ascii="Times New Roman" w:hAnsi="Times New Roman" w:cs="Times New Roman"/>
          <w:sz w:val="20"/>
          <w:szCs w:val="20"/>
        </w:rPr>
        <w:t xml:space="preserve"> ili 0,</w:t>
      </w:r>
      <w:r w:rsidR="00936375" w:rsidRPr="009E0336">
        <w:rPr>
          <w:rFonts w:ascii="Times New Roman" w:hAnsi="Times New Roman" w:cs="Times New Roman"/>
          <w:sz w:val="20"/>
          <w:szCs w:val="20"/>
        </w:rPr>
        <w:t>7</w:t>
      </w:r>
      <w:r w:rsidRPr="009E0336">
        <w:rPr>
          <w:rFonts w:ascii="Times New Roman" w:hAnsi="Times New Roman" w:cs="Times New Roman"/>
          <w:sz w:val="20"/>
          <w:szCs w:val="20"/>
        </w:rPr>
        <w:t xml:space="preserve"> % više od planiranih rashoda u 202</w:t>
      </w:r>
      <w:r w:rsidR="00936375" w:rsidRPr="009E0336">
        <w:rPr>
          <w:rFonts w:ascii="Times New Roman" w:hAnsi="Times New Roman" w:cs="Times New Roman"/>
          <w:sz w:val="20"/>
          <w:szCs w:val="20"/>
        </w:rPr>
        <w:t>5</w:t>
      </w:r>
      <w:r w:rsidRPr="009E0336">
        <w:rPr>
          <w:rFonts w:ascii="Times New Roman" w:hAnsi="Times New Roman" w:cs="Times New Roman"/>
          <w:sz w:val="20"/>
          <w:szCs w:val="20"/>
        </w:rPr>
        <w:t xml:space="preserve">.g. te </w:t>
      </w:r>
      <w:r w:rsidR="00936375" w:rsidRPr="009E0336">
        <w:rPr>
          <w:rFonts w:ascii="Times New Roman" w:hAnsi="Times New Roman" w:cs="Times New Roman"/>
          <w:sz w:val="20"/>
          <w:szCs w:val="20"/>
        </w:rPr>
        <w:t>4.581.000,00 €</w:t>
      </w:r>
      <w:r w:rsidRPr="009E0336">
        <w:rPr>
          <w:rFonts w:ascii="Times New Roman" w:hAnsi="Times New Roman" w:cs="Times New Roman"/>
          <w:sz w:val="20"/>
          <w:szCs w:val="20"/>
        </w:rPr>
        <w:t xml:space="preserve"> u 202</w:t>
      </w:r>
      <w:r w:rsidR="00936375" w:rsidRPr="009E0336">
        <w:rPr>
          <w:rFonts w:ascii="Times New Roman" w:hAnsi="Times New Roman" w:cs="Times New Roman"/>
          <w:sz w:val="20"/>
          <w:szCs w:val="20"/>
        </w:rPr>
        <w:t>7</w:t>
      </w:r>
      <w:r w:rsidRPr="009E0336">
        <w:rPr>
          <w:rFonts w:ascii="Times New Roman" w:hAnsi="Times New Roman" w:cs="Times New Roman"/>
          <w:sz w:val="20"/>
          <w:szCs w:val="20"/>
        </w:rPr>
        <w:t xml:space="preserve">.g. što je </w:t>
      </w:r>
      <w:r w:rsidR="00936375" w:rsidRPr="009E0336">
        <w:rPr>
          <w:rFonts w:ascii="Times New Roman" w:hAnsi="Times New Roman" w:cs="Times New Roman"/>
          <w:sz w:val="20"/>
          <w:szCs w:val="20"/>
        </w:rPr>
        <w:t>193.000,00 €</w:t>
      </w:r>
      <w:r w:rsidRPr="009E0336">
        <w:rPr>
          <w:rFonts w:ascii="Times New Roman" w:hAnsi="Times New Roman" w:cs="Times New Roman"/>
          <w:sz w:val="20"/>
          <w:szCs w:val="20"/>
        </w:rPr>
        <w:t xml:space="preserve"> ili </w:t>
      </w:r>
      <w:r w:rsidR="00936375" w:rsidRPr="009E0336">
        <w:rPr>
          <w:rFonts w:ascii="Times New Roman" w:hAnsi="Times New Roman" w:cs="Times New Roman"/>
          <w:sz w:val="20"/>
          <w:szCs w:val="20"/>
        </w:rPr>
        <w:t xml:space="preserve">4,4 % </w:t>
      </w:r>
      <w:r w:rsidRPr="009E0336">
        <w:rPr>
          <w:rFonts w:ascii="Times New Roman" w:hAnsi="Times New Roman" w:cs="Times New Roman"/>
          <w:sz w:val="20"/>
          <w:szCs w:val="20"/>
        </w:rPr>
        <w:t>više od 202</w:t>
      </w:r>
      <w:r w:rsidR="00936375" w:rsidRPr="009E0336">
        <w:rPr>
          <w:rFonts w:ascii="Times New Roman" w:hAnsi="Times New Roman" w:cs="Times New Roman"/>
          <w:sz w:val="20"/>
          <w:szCs w:val="20"/>
        </w:rPr>
        <w:t>6</w:t>
      </w:r>
      <w:r w:rsidRPr="009E0336">
        <w:rPr>
          <w:rFonts w:ascii="Times New Roman" w:hAnsi="Times New Roman" w:cs="Times New Roman"/>
          <w:sz w:val="20"/>
          <w:szCs w:val="20"/>
        </w:rPr>
        <w:t xml:space="preserve">.g. </w:t>
      </w:r>
    </w:p>
    <w:p w14:paraId="75B590B8" w14:textId="60E1B04F" w:rsidR="005747F4" w:rsidRPr="009E0336" w:rsidRDefault="005747F4" w:rsidP="005747F4">
      <w:pPr>
        <w:spacing w:line="240" w:lineRule="auto"/>
        <w:jc w:val="both"/>
        <w:rPr>
          <w:rFonts w:ascii="Times New Roman" w:hAnsi="Times New Roman" w:cs="Times New Roman"/>
          <w:sz w:val="20"/>
          <w:szCs w:val="20"/>
        </w:rPr>
      </w:pPr>
      <w:r w:rsidRPr="009E0336">
        <w:rPr>
          <w:rFonts w:ascii="Times New Roman" w:hAnsi="Times New Roman" w:cs="Times New Roman"/>
          <w:sz w:val="20"/>
          <w:szCs w:val="20"/>
        </w:rPr>
        <w:t>Financijski rashodi (skupina 34) – planiraju se u 202</w:t>
      </w:r>
      <w:r w:rsidR="00D8149C" w:rsidRPr="009E0336">
        <w:rPr>
          <w:rFonts w:ascii="Times New Roman" w:hAnsi="Times New Roman" w:cs="Times New Roman"/>
          <w:sz w:val="20"/>
          <w:szCs w:val="20"/>
        </w:rPr>
        <w:t>5</w:t>
      </w:r>
      <w:r w:rsidRPr="009E0336">
        <w:rPr>
          <w:rFonts w:ascii="Times New Roman" w:hAnsi="Times New Roman" w:cs="Times New Roman"/>
          <w:sz w:val="20"/>
          <w:szCs w:val="20"/>
        </w:rPr>
        <w:t xml:space="preserve">.g. u iznosu od </w:t>
      </w:r>
      <w:r w:rsidR="00D8149C" w:rsidRPr="009E0336">
        <w:rPr>
          <w:rFonts w:ascii="Times New Roman" w:hAnsi="Times New Roman" w:cs="Times New Roman"/>
          <w:sz w:val="20"/>
          <w:szCs w:val="20"/>
        </w:rPr>
        <w:t>26</w:t>
      </w:r>
      <w:r w:rsidRPr="009E0336">
        <w:rPr>
          <w:rFonts w:ascii="Times New Roman" w:hAnsi="Times New Roman" w:cs="Times New Roman"/>
          <w:sz w:val="20"/>
          <w:szCs w:val="20"/>
        </w:rPr>
        <w:t xml:space="preserve">.000,00 </w:t>
      </w:r>
      <w:r w:rsidR="00D8149C" w:rsidRPr="009E0336">
        <w:rPr>
          <w:rFonts w:ascii="Times New Roman" w:hAnsi="Times New Roman" w:cs="Times New Roman"/>
          <w:sz w:val="20"/>
          <w:szCs w:val="20"/>
        </w:rPr>
        <w:t>€</w:t>
      </w:r>
      <w:r w:rsidRPr="009E0336">
        <w:rPr>
          <w:rFonts w:ascii="Times New Roman" w:hAnsi="Times New Roman" w:cs="Times New Roman"/>
          <w:sz w:val="20"/>
          <w:szCs w:val="20"/>
        </w:rPr>
        <w:t xml:space="preserve"> </w:t>
      </w:r>
      <w:r w:rsidR="00D8149C" w:rsidRPr="009E0336">
        <w:rPr>
          <w:rFonts w:ascii="Times New Roman" w:hAnsi="Times New Roman" w:cs="Times New Roman"/>
          <w:sz w:val="20"/>
          <w:szCs w:val="20"/>
        </w:rPr>
        <w:t xml:space="preserve">koliko su planirani u Rebalansu br. I u 2024.g., dok su u odnosu na izvršenje u 2023.g. manji za 17.783,69 € ili 40,6 %. </w:t>
      </w:r>
      <w:r w:rsidRPr="009E0336">
        <w:rPr>
          <w:rFonts w:ascii="Times New Roman" w:hAnsi="Times New Roman" w:cs="Times New Roman"/>
          <w:sz w:val="20"/>
          <w:szCs w:val="20"/>
        </w:rPr>
        <w:t>Procjena za 202</w:t>
      </w:r>
      <w:r w:rsidR="00D8149C" w:rsidRPr="009E0336">
        <w:rPr>
          <w:rFonts w:ascii="Times New Roman" w:hAnsi="Times New Roman" w:cs="Times New Roman"/>
          <w:sz w:val="20"/>
          <w:szCs w:val="20"/>
        </w:rPr>
        <w:t>6</w:t>
      </w:r>
      <w:r w:rsidRPr="009E0336">
        <w:rPr>
          <w:rFonts w:ascii="Times New Roman" w:hAnsi="Times New Roman" w:cs="Times New Roman"/>
          <w:sz w:val="20"/>
          <w:szCs w:val="20"/>
        </w:rPr>
        <w:t xml:space="preserve">.g. iznosi </w:t>
      </w:r>
      <w:r w:rsidR="00D8149C" w:rsidRPr="009E0336">
        <w:rPr>
          <w:rFonts w:ascii="Times New Roman" w:hAnsi="Times New Roman" w:cs="Times New Roman"/>
          <w:sz w:val="20"/>
          <w:szCs w:val="20"/>
        </w:rPr>
        <w:t>16</w:t>
      </w:r>
      <w:r w:rsidRPr="009E0336">
        <w:rPr>
          <w:rFonts w:ascii="Times New Roman" w:hAnsi="Times New Roman" w:cs="Times New Roman"/>
          <w:sz w:val="20"/>
          <w:szCs w:val="20"/>
        </w:rPr>
        <w:t xml:space="preserve">.000,00 </w:t>
      </w:r>
      <w:r w:rsidR="00D8149C" w:rsidRPr="009E0336">
        <w:rPr>
          <w:rFonts w:ascii="Times New Roman" w:hAnsi="Times New Roman" w:cs="Times New Roman"/>
          <w:sz w:val="20"/>
          <w:szCs w:val="20"/>
        </w:rPr>
        <w:t>€</w:t>
      </w:r>
      <w:r w:rsidRPr="009E0336">
        <w:rPr>
          <w:rFonts w:ascii="Times New Roman" w:hAnsi="Times New Roman" w:cs="Times New Roman"/>
          <w:sz w:val="20"/>
          <w:szCs w:val="20"/>
        </w:rPr>
        <w:t xml:space="preserve"> što je </w:t>
      </w:r>
      <w:r w:rsidR="00D8149C" w:rsidRPr="009E0336">
        <w:rPr>
          <w:rFonts w:ascii="Times New Roman" w:hAnsi="Times New Roman" w:cs="Times New Roman"/>
          <w:sz w:val="20"/>
          <w:szCs w:val="20"/>
        </w:rPr>
        <w:t>10</w:t>
      </w:r>
      <w:r w:rsidRPr="009E0336">
        <w:rPr>
          <w:rFonts w:ascii="Times New Roman" w:hAnsi="Times New Roman" w:cs="Times New Roman"/>
          <w:sz w:val="20"/>
          <w:szCs w:val="20"/>
        </w:rPr>
        <w:t xml:space="preserve">.000,00 </w:t>
      </w:r>
      <w:r w:rsidR="00D8149C" w:rsidRPr="009E0336">
        <w:rPr>
          <w:rFonts w:ascii="Times New Roman" w:hAnsi="Times New Roman" w:cs="Times New Roman"/>
          <w:sz w:val="20"/>
          <w:szCs w:val="20"/>
        </w:rPr>
        <w:t>€</w:t>
      </w:r>
      <w:r w:rsidRPr="009E0336">
        <w:rPr>
          <w:rFonts w:ascii="Times New Roman" w:hAnsi="Times New Roman" w:cs="Times New Roman"/>
          <w:sz w:val="20"/>
          <w:szCs w:val="20"/>
        </w:rPr>
        <w:t xml:space="preserve"> ili </w:t>
      </w:r>
      <w:r w:rsidR="00D8149C" w:rsidRPr="009E0336">
        <w:rPr>
          <w:rFonts w:ascii="Times New Roman" w:hAnsi="Times New Roman" w:cs="Times New Roman"/>
          <w:sz w:val="20"/>
          <w:szCs w:val="20"/>
        </w:rPr>
        <w:t>38,5</w:t>
      </w:r>
      <w:r w:rsidRPr="009E0336">
        <w:rPr>
          <w:rFonts w:ascii="Times New Roman" w:hAnsi="Times New Roman" w:cs="Times New Roman"/>
          <w:sz w:val="20"/>
          <w:szCs w:val="20"/>
        </w:rPr>
        <w:t xml:space="preserve"> % manje u odnosu na 202</w:t>
      </w:r>
      <w:r w:rsidR="00D8149C" w:rsidRPr="009E0336">
        <w:rPr>
          <w:rFonts w:ascii="Times New Roman" w:hAnsi="Times New Roman" w:cs="Times New Roman"/>
          <w:sz w:val="20"/>
          <w:szCs w:val="20"/>
        </w:rPr>
        <w:t>5</w:t>
      </w:r>
      <w:r w:rsidRPr="009E0336">
        <w:rPr>
          <w:rFonts w:ascii="Times New Roman" w:hAnsi="Times New Roman" w:cs="Times New Roman"/>
          <w:sz w:val="20"/>
          <w:szCs w:val="20"/>
        </w:rPr>
        <w:t>.g., a za 202</w:t>
      </w:r>
      <w:r w:rsidR="00D8149C" w:rsidRPr="009E0336">
        <w:rPr>
          <w:rFonts w:ascii="Times New Roman" w:hAnsi="Times New Roman" w:cs="Times New Roman"/>
          <w:sz w:val="20"/>
          <w:szCs w:val="20"/>
        </w:rPr>
        <w:t>7</w:t>
      </w:r>
      <w:r w:rsidRPr="009E0336">
        <w:rPr>
          <w:rFonts w:ascii="Times New Roman" w:hAnsi="Times New Roman" w:cs="Times New Roman"/>
          <w:sz w:val="20"/>
          <w:szCs w:val="20"/>
        </w:rPr>
        <w:t>.g. procjena iznosi 1</w:t>
      </w:r>
      <w:r w:rsidR="00D8149C" w:rsidRPr="009E0336">
        <w:rPr>
          <w:rFonts w:ascii="Times New Roman" w:hAnsi="Times New Roman" w:cs="Times New Roman"/>
          <w:sz w:val="20"/>
          <w:szCs w:val="20"/>
        </w:rPr>
        <w:t>7</w:t>
      </w:r>
      <w:r w:rsidRPr="009E0336">
        <w:rPr>
          <w:rFonts w:ascii="Times New Roman" w:hAnsi="Times New Roman" w:cs="Times New Roman"/>
          <w:sz w:val="20"/>
          <w:szCs w:val="20"/>
        </w:rPr>
        <w:t>.</w:t>
      </w:r>
      <w:r w:rsidR="00D8149C" w:rsidRPr="009E0336">
        <w:rPr>
          <w:rFonts w:ascii="Times New Roman" w:hAnsi="Times New Roman" w:cs="Times New Roman"/>
          <w:sz w:val="20"/>
          <w:szCs w:val="20"/>
        </w:rPr>
        <w:t>0</w:t>
      </w:r>
      <w:r w:rsidRPr="009E0336">
        <w:rPr>
          <w:rFonts w:ascii="Times New Roman" w:hAnsi="Times New Roman" w:cs="Times New Roman"/>
          <w:sz w:val="20"/>
          <w:szCs w:val="20"/>
        </w:rPr>
        <w:t xml:space="preserve">00,00 </w:t>
      </w:r>
      <w:r w:rsidR="00D8149C" w:rsidRPr="009E0336">
        <w:rPr>
          <w:rFonts w:ascii="Times New Roman" w:hAnsi="Times New Roman" w:cs="Times New Roman"/>
          <w:sz w:val="20"/>
          <w:szCs w:val="20"/>
        </w:rPr>
        <w:t>€</w:t>
      </w:r>
      <w:r w:rsidRPr="009E0336">
        <w:rPr>
          <w:rFonts w:ascii="Times New Roman" w:hAnsi="Times New Roman" w:cs="Times New Roman"/>
          <w:sz w:val="20"/>
          <w:szCs w:val="20"/>
        </w:rPr>
        <w:t>. Znači da se za iduće dvije godine planiraju samo rashodi platnog prometa dok se ne planiraju značajni rashodi za zatezne kamate jer se očekuje da će svi sudski postupci biti okončani u 202</w:t>
      </w:r>
      <w:r w:rsidR="00D8149C" w:rsidRPr="009E0336">
        <w:rPr>
          <w:rFonts w:ascii="Times New Roman" w:hAnsi="Times New Roman" w:cs="Times New Roman"/>
          <w:sz w:val="20"/>
          <w:szCs w:val="20"/>
        </w:rPr>
        <w:t>5</w:t>
      </w:r>
      <w:r w:rsidRPr="009E0336">
        <w:rPr>
          <w:rFonts w:ascii="Times New Roman" w:hAnsi="Times New Roman" w:cs="Times New Roman"/>
          <w:sz w:val="20"/>
          <w:szCs w:val="20"/>
        </w:rPr>
        <w:t>.g.</w:t>
      </w:r>
    </w:p>
    <w:p w14:paraId="0641EB64" w14:textId="77777777" w:rsidR="009E0336" w:rsidRDefault="009E0336" w:rsidP="005747F4">
      <w:pPr>
        <w:jc w:val="both"/>
        <w:rPr>
          <w:rFonts w:ascii="Times New Roman" w:hAnsi="Times New Roman" w:cs="Times New Roman"/>
          <w:b/>
          <w:bCs/>
          <w:sz w:val="20"/>
          <w:szCs w:val="20"/>
        </w:rPr>
      </w:pPr>
    </w:p>
    <w:p w14:paraId="58D934C8" w14:textId="01D93E91" w:rsidR="005747F4" w:rsidRPr="009E0336" w:rsidRDefault="005747F4" w:rsidP="005747F4">
      <w:pPr>
        <w:jc w:val="both"/>
        <w:rPr>
          <w:rFonts w:ascii="Times New Roman" w:hAnsi="Times New Roman" w:cs="Times New Roman"/>
          <w:b/>
          <w:bCs/>
          <w:sz w:val="20"/>
          <w:szCs w:val="20"/>
        </w:rPr>
      </w:pPr>
      <w:r w:rsidRPr="009E0336">
        <w:rPr>
          <w:rFonts w:ascii="Times New Roman" w:hAnsi="Times New Roman" w:cs="Times New Roman"/>
          <w:b/>
          <w:bCs/>
          <w:sz w:val="20"/>
          <w:szCs w:val="20"/>
        </w:rPr>
        <w:lastRenderedPageBreak/>
        <w:t xml:space="preserve">Rashodi za nabavu nefinancijske imovine </w:t>
      </w:r>
    </w:p>
    <w:p w14:paraId="1FCAC8EE" w14:textId="5350BA12" w:rsidR="005747F4" w:rsidRPr="009E0336" w:rsidRDefault="005747F4" w:rsidP="005747F4">
      <w:pPr>
        <w:widowControl/>
        <w:suppressAutoHyphens w:val="0"/>
        <w:autoSpaceDN/>
        <w:spacing w:after="0" w:line="240" w:lineRule="auto"/>
        <w:jc w:val="both"/>
        <w:rPr>
          <w:rFonts w:ascii="Times New Roman" w:eastAsia="Times New Roman" w:hAnsi="Times New Roman" w:cs="Times New Roman"/>
          <w:kern w:val="0"/>
          <w:sz w:val="20"/>
          <w:szCs w:val="20"/>
          <w:lang w:eastAsia="hr-HR"/>
        </w:rPr>
      </w:pPr>
      <w:r w:rsidRPr="009E0336">
        <w:rPr>
          <w:rFonts w:ascii="Times New Roman" w:eastAsia="Times New Roman" w:hAnsi="Times New Roman" w:cs="Times New Roman"/>
          <w:kern w:val="0"/>
          <w:sz w:val="20"/>
          <w:szCs w:val="20"/>
          <w:lang w:eastAsia="hr-HR"/>
        </w:rPr>
        <w:t xml:space="preserve">Rashodi za nabavu </w:t>
      </w:r>
      <w:proofErr w:type="spellStart"/>
      <w:r w:rsidRPr="009E0336">
        <w:rPr>
          <w:rFonts w:ascii="Times New Roman" w:eastAsia="Times New Roman" w:hAnsi="Times New Roman" w:cs="Times New Roman"/>
          <w:kern w:val="0"/>
          <w:sz w:val="20"/>
          <w:szCs w:val="20"/>
          <w:lang w:eastAsia="hr-HR"/>
        </w:rPr>
        <w:t>neproizvedene</w:t>
      </w:r>
      <w:proofErr w:type="spellEnd"/>
      <w:r w:rsidRPr="009E0336">
        <w:rPr>
          <w:rFonts w:ascii="Times New Roman" w:eastAsia="Times New Roman" w:hAnsi="Times New Roman" w:cs="Times New Roman"/>
          <w:kern w:val="0"/>
          <w:sz w:val="20"/>
          <w:szCs w:val="20"/>
          <w:lang w:eastAsia="hr-HR"/>
        </w:rPr>
        <w:t xml:space="preserve"> imovine (skupina 41) – u planu za 202</w:t>
      </w:r>
      <w:r w:rsidR="008D24BC" w:rsidRPr="009E0336">
        <w:rPr>
          <w:rFonts w:ascii="Times New Roman" w:eastAsia="Times New Roman" w:hAnsi="Times New Roman" w:cs="Times New Roman"/>
          <w:kern w:val="0"/>
          <w:sz w:val="20"/>
          <w:szCs w:val="20"/>
          <w:lang w:eastAsia="hr-HR"/>
        </w:rPr>
        <w:t>5</w:t>
      </w:r>
      <w:r w:rsidRPr="009E0336">
        <w:rPr>
          <w:rFonts w:ascii="Times New Roman" w:eastAsia="Times New Roman" w:hAnsi="Times New Roman" w:cs="Times New Roman"/>
          <w:kern w:val="0"/>
          <w:sz w:val="20"/>
          <w:szCs w:val="20"/>
          <w:lang w:eastAsia="hr-HR"/>
        </w:rPr>
        <w:t xml:space="preserve">.g. rashodi se planiraju za nabavu licenci </w:t>
      </w:r>
      <w:r w:rsidR="008D24BC" w:rsidRPr="009E0336">
        <w:rPr>
          <w:rFonts w:ascii="Times New Roman" w:eastAsia="Times New Roman" w:hAnsi="Times New Roman" w:cs="Times New Roman"/>
          <w:kern w:val="0"/>
          <w:sz w:val="20"/>
          <w:szCs w:val="20"/>
          <w:lang w:eastAsia="hr-HR"/>
        </w:rPr>
        <w:t>i za adaptaciju ispostave u Vrgorcu u iznosu od 25</w:t>
      </w:r>
      <w:r w:rsidR="004407AA" w:rsidRPr="009E0336">
        <w:rPr>
          <w:rFonts w:ascii="Times New Roman" w:eastAsia="Times New Roman" w:hAnsi="Times New Roman" w:cs="Times New Roman"/>
          <w:kern w:val="0"/>
          <w:sz w:val="20"/>
          <w:szCs w:val="20"/>
          <w:lang w:eastAsia="hr-HR"/>
        </w:rPr>
        <w:t>3</w:t>
      </w:r>
      <w:r w:rsidR="008D24BC" w:rsidRPr="009E0336">
        <w:rPr>
          <w:rFonts w:ascii="Times New Roman" w:eastAsia="Times New Roman" w:hAnsi="Times New Roman" w:cs="Times New Roman"/>
          <w:kern w:val="0"/>
          <w:sz w:val="20"/>
          <w:szCs w:val="20"/>
          <w:lang w:eastAsia="hr-HR"/>
        </w:rPr>
        <w:t>.000,00 €</w:t>
      </w:r>
      <w:r w:rsidRPr="009E0336">
        <w:rPr>
          <w:rFonts w:ascii="Times New Roman" w:eastAsia="Times New Roman" w:hAnsi="Times New Roman" w:cs="Times New Roman"/>
          <w:kern w:val="0"/>
          <w:sz w:val="20"/>
          <w:szCs w:val="20"/>
          <w:lang w:eastAsia="hr-HR"/>
        </w:rPr>
        <w:t>, a u projekcijama za 202</w:t>
      </w:r>
      <w:r w:rsidR="008D24BC" w:rsidRPr="009E0336">
        <w:rPr>
          <w:rFonts w:ascii="Times New Roman" w:eastAsia="Times New Roman" w:hAnsi="Times New Roman" w:cs="Times New Roman"/>
          <w:kern w:val="0"/>
          <w:sz w:val="20"/>
          <w:szCs w:val="20"/>
          <w:lang w:eastAsia="hr-HR"/>
        </w:rPr>
        <w:t>6</w:t>
      </w:r>
      <w:r w:rsidRPr="009E0336">
        <w:rPr>
          <w:rFonts w:ascii="Times New Roman" w:eastAsia="Times New Roman" w:hAnsi="Times New Roman" w:cs="Times New Roman"/>
          <w:kern w:val="0"/>
          <w:sz w:val="20"/>
          <w:szCs w:val="20"/>
          <w:lang w:eastAsia="hr-HR"/>
        </w:rPr>
        <w:t xml:space="preserve">.g. u iznosu od </w:t>
      </w:r>
      <w:r w:rsidR="008D24BC" w:rsidRPr="009E0336">
        <w:rPr>
          <w:rFonts w:ascii="Times New Roman" w:eastAsia="Times New Roman" w:hAnsi="Times New Roman" w:cs="Times New Roman"/>
          <w:kern w:val="0"/>
          <w:sz w:val="20"/>
          <w:szCs w:val="20"/>
          <w:lang w:eastAsia="hr-HR"/>
        </w:rPr>
        <w:t>254.000</w:t>
      </w:r>
      <w:r w:rsidRPr="009E0336">
        <w:rPr>
          <w:rFonts w:ascii="Times New Roman" w:eastAsia="Times New Roman" w:hAnsi="Times New Roman" w:cs="Times New Roman"/>
          <w:kern w:val="0"/>
          <w:sz w:val="20"/>
          <w:szCs w:val="20"/>
          <w:lang w:eastAsia="hr-HR"/>
        </w:rPr>
        <w:t xml:space="preserve">,00 </w:t>
      </w:r>
      <w:r w:rsidR="008D24BC" w:rsidRPr="009E0336">
        <w:rPr>
          <w:rFonts w:ascii="Times New Roman" w:eastAsia="Times New Roman" w:hAnsi="Times New Roman" w:cs="Times New Roman"/>
          <w:kern w:val="0"/>
          <w:sz w:val="20"/>
          <w:szCs w:val="20"/>
          <w:lang w:eastAsia="hr-HR"/>
        </w:rPr>
        <w:t>€</w:t>
      </w:r>
      <w:r w:rsidRPr="009E0336">
        <w:rPr>
          <w:rFonts w:ascii="Times New Roman" w:eastAsia="Times New Roman" w:hAnsi="Times New Roman" w:cs="Times New Roman"/>
          <w:kern w:val="0"/>
          <w:sz w:val="20"/>
          <w:szCs w:val="20"/>
          <w:lang w:eastAsia="hr-HR"/>
        </w:rPr>
        <w:t xml:space="preserve"> </w:t>
      </w:r>
      <w:r w:rsidR="004407AA" w:rsidRPr="009E0336">
        <w:rPr>
          <w:rFonts w:ascii="Times New Roman" w:eastAsia="Times New Roman" w:hAnsi="Times New Roman" w:cs="Times New Roman"/>
          <w:kern w:val="0"/>
          <w:sz w:val="20"/>
          <w:szCs w:val="20"/>
          <w:lang w:eastAsia="hr-HR"/>
        </w:rPr>
        <w:t xml:space="preserve">(za licence i adaptaciju ispostave u Omišu), </w:t>
      </w:r>
      <w:r w:rsidRPr="009E0336">
        <w:rPr>
          <w:rFonts w:ascii="Times New Roman" w:eastAsia="Times New Roman" w:hAnsi="Times New Roman" w:cs="Times New Roman"/>
          <w:kern w:val="0"/>
          <w:sz w:val="20"/>
          <w:szCs w:val="20"/>
          <w:lang w:eastAsia="hr-HR"/>
        </w:rPr>
        <w:t xml:space="preserve">te u iznosu </w:t>
      </w:r>
      <w:r w:rsidR="008D24BC" w:rsidRPr="009E0336">
        <w:rPr>
          <w:rFonts w:ascii="Times New Roman" w:eastAsia="Times New Roman" w:hAnsi="Times New Roman" w:cs="Times New Roman"/>
          <w:kern w:val="0"/>
          <w:sz w:val="20"/>
          <w:szCs w:val="20"/>
          <w:lang w:eastAsia="hr-HR"/>
        </w:rPr>
        <w:t>od 255.000,00 €</w:t>
      </w:r>
      <w:r w:rsidRPr="009E0336">
        <w:rPr>
          <w:rFonts w:ascii="Times New Roman" w:eastAsia="Times New Roman" w:hAnsi="Times New Roman" w:cs="Times New Roman"/>
          <w:kern w:val="0"/>
          <w:sz w:val="20"/>
          <w:szCs w:val="20"/>
          <w:lang w:eastAsia="hr-HR"/>
        </w:rPr>
        <w:t xml:space="preserve"> </w:t>
      </w:r>
      <w:r w:rsidR="004407AA" w:rsidRPr="009E0336">
        <w:rPr>
          <w:rFonts w:ascii="Times New Roman" w:eastAsia="Times New Roman" w:hAnsi="Times New Roman" w:cs="Times New Roman"/>
          <w:kern w:val="0"/>
          <w:sz w:val="20"/>
          <w:szCs w:val="20"/>
          <w:lang w:eastAsia="hr-HR"/>
        </w:rPr>
        <w:t xml:space="preserve">(za licence i adaptaciju ispostave u Muću i Šolti) </w:t>
      </w:r>
      <w:r w:rsidRPr="009E0336">
        <w:rPr>
          <w:rFonts w:ascii="Times New Roman" w:eastAsia="Times New Roman" w:hAnsi="Times New Roman" w:cs="Times New Roman"/>
          <w:kern w:val="0"/>
          <w:sz w:val="20"/>
          <w:szCs w:val="20"/>
          <w:lang w:eastAsia="hr-HR"/>
        </w:rPr>
        <w:t>za 202</w:t>
      </w:r>
      <w:r w:rsidR="008D24BC" w:rsidRPr="009E0336">
        <w:rPr>
          <w:rFonts w:ascii="Times New Roman" w:eastAsia="Times New Roman" w:hAnsi="Times New Roman" w:cs="Times New Roman"/>
          <w:kern w:val="0"/>
          <w:sz w:val="20"/>
          <w:szCs w:val="20"/>
          <w:lang w:eastAsia="hr-HR"/>
        </w:rPr>
        <w:t>7</w:t>
      </w:r>
      <w:r w:rsidRPr="009E0336">
        <w:rPr>
          <w:rFonts w:ascii="Times New Roman" w:eastAsia="Times New Roman" w:hAnsi="Times New Roman" w:cs="Times New Roman"/>
          <w:kern w:val="0"/>
          <w:sz w:val="20"/>
          <w:szCs w:val="20"/>
          <w:lang w:eastAsia="hr-HR"/>
        </w:rPr>
        <w:t xml:space="preserve">.g. U 2023.g. rashodi za nabavu nefinancijske imovine </w:t>
      </w:r>
      <w:r w:rsidR="008B655D" w:rsidRPr="009E0336">
        <w:rPr>
          <w:rFonts w:ascii="Times New Roman" w:eastAsia="Times New Roman" w:hAnsi="Times New Roman" w:cs="Times New Roman"/>
          <w:kern w:val="0"/>
          <w:sz w:val="20"/>
          <w:szCs w:val="20"/>
          <w:lang w:eastAsia="hr-HR"/>
        </w:rPr>
        <w:t xml:space="preserve">izvršeni </w:t>
      </w:r>
      <w:r w:rsidRPr="009E0336">
        <w:rPr>
          <w:rFonts w:ascii="Times New Roman" w:eastAsia="Times New Roman" w:hAnsi="Times New Roman" w:cs="Times New Roman"/>
          <w:kern w:val="0"/>
          <w:sz w:val="20"/>
          <w:szCs w:val="20"/>
          <w:lang w:eastAsia="hr-HR"/>
        </w:rPr>
        <w:t xml:space="preserve"> su u iznosu od </w:t>
      </w:r>
      <w:r w:rsidR="008B655D" w:rsidRPr="009E0336">
        <w:rPr>
          <w:rFonts w:ascii="Times New Roman" w:eastAsia="Times New Roman" w:hAnsi="Times New Roman" w:cs="Times New Roman"/>
          <w:kern w:val="0"/>
          <w:sz w:val="20"/>
          <w:szCs w:val="20"/>
          <w:lang w:eastAsia="hr-HR"/>
        </w:rPr>
        <w:t>223.579,47 €</w:t>
      </w:r>
      <w:r w:rsidRPr="009E0336">
        <w:rPr>
          <w:rFonts w:ascii="Times New Roman" w:eastAsia="Times New Roman" w:hAnsi="Times New Roman" w:cs="Times New Roman"/>
          <w:kern w:val="0"/>
          <w:sz w:val="20"/>
          <w:szCs w:val="20"/>
          <w:lang w:eastAsia="hr-HR"/>
        </w:rPr>
        <w:t xml:space="preserve"> za adaptaciju prostorija ispostave hitne medicine u Solinu</w:t>
      </w:r>
      <w:r w:rsidR="008B655D" w:rsidRPr="009E0336">
        <w:rPr>
          <w:rFonts w:ascii="Times New Roman" w:eastAsia="Times New Roman" w:hAnsi="Times New Roman" w:cs="Times New Roman"/>
          <w:kern w:val="0"/>
          <w:sz w:val="20"/>
          <w:szCs w:val="20"/>
          <w:lang w:eastAsia="hr-HR"/>
        </w:rPr>
        <w:t>, dok u 2024.g. nije bilo značajnijih adaptacija.</w:t>
      </w:r>
    </w:p>
    <w:p w14:paraId="418B17FF" w14:textId="77777777" w:rsidR="005747F4" w:rsidRPr="009E0336" w:rsidRDefault="005747F4" w:rsidP="005747F4">
      <w:pPr>
        <w:widowControl/>
        <w:suppressAutoHyphens w:val="0"/>
        <w:autoSpaceDN/>
        <w:spacing w:after="0" w:line="240" w:lineRule="auto"/>
        <w:jc w:val="both"/>
        <w:rPr>
          <w:rFonts w:ascii="Times New Roman" w:eastAsia="Times New Roman" w:hAnsi="Times New Roman" w:cs="Times New Roman"/>
          <w:kern w:val="0"/>
          <w:sz w:val="20"/>
          <w:szCs w:val="20"/>
          <w:lang w:eastAsia="hr-HR"/>
        </w:rPr>
      </w:pPr>
    </w:p>
    <w:p w14:paraId="10245AB2" w14:textId="4C16C17F" w:rsidR="005747F4" w:rsidRPr="009E0336" w:rsidRDefault="005747F4" w:rsidP="005747F4">
      <w:pPr>
        <w:widowControl/>
        <w:suppressAutoHyphens w:val="0"/>
        <w:autoSpaceDN/>
        <w:spacing w:after="0" w:line="240" w:lineRule="auto"/>
        <w:jc w:val="both"/>
        <w:rPr>
          <w:rFonts w:ascii="Times New Roman" w:eastAsia="Times New Roman" w:hAnsi="Times New Roman" w:cs="Times New Roman"/>
          <w:kern w:val="0"/>
          <w:sz w:val="20"/>
          <w:szCs w:val="20"/>
          <w:lang w:eastAsia="hr-HR"/>
        </w:rPr>
      </w:pPr>
      <w:r w:rsidRPr="009E0336">
        <w:rPr>
          <w:rFonts w:ascii="Times New Roman" w:eastAsia="Times New Roman" w:hAnsi="Times New Roman" w:cs="Times New Roman"/>
          <w:kern w:val="0"/>
          <w:sz w:val="20"/>
          <w:szCs w:val="20"/>
          <w:lang w:eastAsia="hr-HR"/>
        </w:rPr>
        <w:t xml:space="preserve">Rashodi za nabavu proizvedene dugotrajne imovine (skupina 42) – </w:t>
      </w:r>
      <w:r w:rsidR="003E1F73" w:rsidRPr="009E0336">
        <w:rPr>
          <w:rFonts w:ascii="Times New Roman" w:eastAsia="Times New Roman" w:hAnsi="Times New Roman" w:cs="Times New Roman"/>
          <w:kern w:val="0"/>
          <w:sz w:val="20"/>
          <w:szCs w:val="20"/>
          <w:lang w:eastAsia="hr-HR"/>
        </w:rPr>
        <w:t xml:space="preserve">u 2025.g. </w:t>
      </w:r>
      <w:r w:rsidRPr="009E0336">
        <w:rPr>
          <w:rFonts w:ascii="Times New Roman" w:eastAsia="Times New Roman" w:hAnsi="Times New Roman" w:cs="Times New Roman"/>
          <w:kern w:val="0"/>
          <w:sz w:val="20"/>
          <w:szCs w:val="20"/>
          <w:lang w:eastAsia="hr-HR"/>
        </w:rPr>
        <w:t xml:space="preserve">planiraju se u iznosu od </w:t>
      </w:r>
      <w:r w:rsidR="003E1F73" w:rsidRPr="009E0336">
        <w:rPr>
          <w:rFonts w:ascii="Times New Roman" w:eastAsia="Times New Roman" w:hAnsi="Times New Roman" w:cs="Times New Roman"/>
          <w:kern w:val="0"/>
          <w:sz w:val="20"/>
          <w:szCs w:val="20"/>
          <w:lang w:eastAsia="hr-HR"/>
        </w:rPr>
        <w:t xml:space="preserve">1.928.000,00 € </w:t>
      </w:r>
      <w:r w:rsidRPr="009E0336">
        <w:rPr>
          <w:rFonts w:ascii="Times New Roman" w:eastAsia="Times New Roman" w:hAnsi="Times New Roman" w:cs="Times New Roman"/>
          <w:kern w:val="0"/>
          <w:sz w:val="20"/>
          <w:szCs w:val="20"/>
          <w:lang w:eastAsia="hr-HR"/>
        </w:rPr>
        <w:t xml:space="preserve">što je </w:t>
      </w:r>
      <w:r w:rsidR="003E1F73" w:rsidRPr="009E0336">
        <w:rPr>
          <w:rFonts w:ascii="Times New Roman" w:eastAsia="Times New Roman" w:hAnsi="Times New Roman" w:cs="Times New Roman"/>
          <w:kern w:val="0"/>
          <w:sz w:val="20"/>
          <w:szCs w:val="20"/>
          <w:lang w:eastAsia="hr-HR"/>
        </w:rPr>
        <w:t>380.363,94 € ili 1</w:t>
      </w:r>
      <w:r w:rsidRPr="009E0336">
        <w:rPr>
          <w:rFonts w:ascii="Times New Roman" w:eastAsia="Times New Roman" w:hAnsi="Times New Roman" w:cs="Times New Roman"/>
          <w:kern w:val="0"/>
          <w:sz w:val="20"/>
          <w:szCs w:val="20"/>
          <w:lang w:eastAsia="hr-HR"/>
        </w:rPr>
        <w:t>6</w:t>
      </w:r>
      <w:r w:rsidR="003E1F73" w:rsidRPr="009E0336">
        <w:rPr>
          <w:rFonts w:ascii="Times New Roman" w:eastAsia="Times New Roman" w:hAnsi="Times New Roman" w:cs="Times New Roman"/>
          <w:kern w:val="0"/>
          <w:sz w:val="20"/>
          <w:szCs w:val="20"/>
          <w:lang w:eastAsia="hr-HR"/>
        </w:rPr>
        <w:t>,5</w:t>
      </w:r>
      <w:r w:rsidRPr="009E0336">
        <w:rPr>
          <w:rFonts w:ascii="Times New Roman" w:eastAsia="Times New Roman" w:hAnsi="Times New Roman" w:cs="Times New Roman"/>
          <w:kern w:val="0"/>
          <w:sz w:val="20"/>
          <w:szCs w:val="20"/>
          <w:lang w:eastAsia="hr-HR"/>
        </w:rPr>
        <w:t xml:space="preserve"> % </w:t>
      </w:r>
      <w:r w:rsidR="003E1F73" w:rsidRPr="009E0336">
        <w:rPr>
          <w:rFonts w:ascii="Times New Roman" w:eastAsia="Times New Roman" w:hAnsi="Times New Roman" w:cs="Times New Roman"/>
          <w:kern w:val="0"/>
          <w:sz w:val="20"/>
          <w:szCs w:val="20"/>
          <w:lang w:eastAsia="hr-HR"/>
        </w:rPr>
        <w:t>manje</w:t>
      </w:r>
      <w:r w:rsidRPr="009E0336">
        <w:rPr>
          <w:rFonts w:ascii="Times New Roman" w:eastAsia="Times New Roman" w:hAnsi="Times New Roman" w:cs="Times New Roman"/>
          <w:kern w:val="0"/>
          <w:sz w:val="20"/>
          <w:szCs w:val="20"/>
          <w:lang w:eastAsia="hr-HR"/>
        </w:rPr>
        <w:t xml:space="preserve"> u odnosu na </w:t>
      </w:r>
      <w:r w:rsidR="003E1F73" w:rsidRPr="009E0336">
        <w:rPr>
          <w:rFonts w:ascii="Times New Roman" w:eastAsia="Times New Roman" w:hAnsi="Times New Roman" w:cs="Times New Roman"/>
          <w:kern w:val="0"/>
          <w:sz w:val="20"/>
          <w:szCs w:val="20"/>
          <w:lang w:eastAsia="hr-HR"/>
        </w:rPr>
        <w:t>Rebalans br. I u 2024.g.</w:t>
      </w:r>
      <w:r w:rsidRPr="009E0336">
        <w:rPr>
          <w:rFonts w:ascii="Times New Roman" w:eastAsia="Times New Roman" w:hAnsi="Times New Roman" w:cs="Times New Roman"/>
          <w:kern w:val="0"/>
          <w:sz w:val="20"/>
          <w:szCs w:val="20"/>
          <w:lang w:eastAsia="hr-HR"/>
        </w:rPr>
        <w:t xml:space="preserve"> te </w:t>
      </w:r>
      <w:r w:rsidR="003E1F73" w:rsidRPr="009E0336">
        <w:rPr>
          <w:rFonts w:ascii="Times New Roman" w:eastAsia="Times New Roman" w:hAnsi="Times New Roman" w:cs="Times New Roman"/>
          <w:kern w:val="0"/>
          <w:sz w:val="20"/>
          <w:szCs w:val="20"/>
          <w:lang w:eastAsia="hr-HR"/>
        </w:rPr>
        <w:t>861.975,33 €</w:t>
      </w:r>
      <w:r w:rsidRPr="009E0336">
        <w:rPr>
          <w:rFonts w:ascii="Times New Roman" w:eastAsia="Times New Roman" w:hAnsi="Times New Roman" w:cs="Times New Roman"/>
          <w:kern w:val="0"/>
          <w:sz w:val="20"/>
          <w:szCs w:val="20"/>
          <w:lang w:eastAsia="hr-HR"/>
        </w:rPr>
        <w:t xml:space="preserve"> ili </w:t>
      </w:r>
      <w:r w:rsidR="003E1F73" w:rsidRPr="009E0336">
        <w:rPr>
          <w:rFonts w:ascii="Times New Roman" w:eastAsia="Times New Roman" w:hAnsi="Times New Roman" w:cs="Times New Roman"/>
          <w:kern w:val="0"/>
          <w:sz w:val="20"/>
          <w:szCs w:val="20"/>
          <w:lang w:eastAsia="hr-HR"/>
        </w:rPr>
        <w:t xml:space="preserve">80,9 </w:t>
      </w:r>
      <w:r w:rsidRPr="009E0336">
        <w:rPr>
          <w:rFonts w:ascii="Times New Roman" w:eastAsia="Times New Roman" w:hAnsi="Times New Roman" w:cs="Times New Roman"/>
          <w:kern w:val="0"/>
          <w:sz w:val="20"/>
          <w:szCs w:val="20"/>
          <w:lang w:eastAsia="hr-HR"/>
        </w:rPr>
        <w:t>% više u odnosu na izvršenje 202</w:t>
      </w:r>
      <w:r w:rsidR="003E1F73" w:rsidRPr="009E0336">
        <w:rPr>
          <w:rFonts w:ascii="Times New Roman" w:eastAsia="Times New Roman" w:hAnsi="Times New Roman" w:cs="Times New Roman"/>
          <w:kern w:val="0"/>
          <w:sz w:val="20"/>
          <w:szCs w:val="20"/>
          <w:lang w:eastAsia="hr-HR"/>
        </w:rPr>
        <w:t>3</w:t>
      </w:r>
      <w:r w:rsidRPr="009E0336">
        <w:rPr>
          <w:rFonts w:ascii="Times New Roman" w:eastAsia="Times New Roman" w:hAnsi="Times New Roman" w:cs="Times New Roman"/>
          <w:kern w:val="0"/>
          <w:sz w:val="20"/>
          <w:szCs w:val="20"/>
          <w:lang w:eastAsia="hr-HR"/>
        </w:rPr>
        <w:t>.g. Na osnovu iskazanih potreba za novom opremom i vozilima</w:t>
      </w:r>
      <w:r w:rsidR="003E1F73" w:rsidRPr="009E0336">
        <w:rPr>
          <w:rFonts w:ascii="Times New Roman" w:eastAsia="Times New Roman" w:hAnsi="Times New Roman" w:cs="Times New Roman"/>
          <w:kern w:val="0"/>
          <w:sz w:val="20"/>
          <w:szCs w:val="20"/>
          <w:lang w:eastAsia="hr-HR"/>
        </w:rPr>
        <w:t xml:space="preserve"> te potrebe usklađenja s novim standardima i normativima </w:t>
      </w:r>
      <w:r w:rsidRPr="009E0336">
        <w:rPr>
          <w:rFonts w:ascii="Times New Roman" w:eastAsia="Times New Roman" w:hAnsi="Times New Roman" w:cs="Times New Roman"/>
          <w:kern w:val="0"/>
          <w:sz w:val="20"/>
          <w:szCs w:val="20"/>
          <w:lang w:eastAsia="hr-HR"/>
        </w:rPr>
        <w:t xml:space="preserve">planiraju se nabave medicinske, uredske, komunikacijske i ostale opreme te nabava vozila za izvanbolničku hitnu medicinu i sanitetski prijevoz koji će se najvećim dijelom financirati iz decentraliziranih </w:t>
      </w:r>
      <w:r w:rsidR="003E1F73" w:rsidRPr="009E0336">
        <w:rPr>
          <w:rFonts w:ascii="Times New Roman" w:eastAsia="Times New Roman" w:hAnsi="Times New Roman" w:cs="Times New Roman"/>
          <w:kern w:val="0"/>
          <w:sz w:val="20"/>
          <w:szCs w:val="20"/>
          <w:lang w:eastAsia="hr-HR"/>
        </w:rPr>
        <w:t xml:space="preserve">i matičnih </w:t>
      </w:r>
      <w:r w:rsidRPr="009E0336">
        <w:rPr>
          <w:rFonts w:ascii="Times New Roman" w:eastAsia="Times New Roman" w:hAnsi="Times New Roman" w:cs="Times New Roman"/>
          <w:kern w:val="0"/>
          <w:sz w:val="20"/>
          <w:szCs w:val="20"/>
          <w:lang w:eastAsia="hr-HR"/>
        </w:rPr>
        <w:t>sredstava</w:t>
      </w:r>
      <w:r w:rsidR="003E1F73" w:rsidRPr="009E0336">
        <w:rPr>
          <w:rFonts w:ascii="Times New Roman" w:eastAsia="Times New Roman" w:hAnsi="Times New Roman" w:cs="Times New Roman"/>
          <w:kern w:val="0"/>
          <w:sz w:val="20"/>
          <w:szCs w:val="20"/>
          <w:lang w:eastAsia="hr-HR"/>
        </w:rPr>
        <w:t xml:space="preserve"> Splitsko-dalmatinske županije</w:t>
      </w:r>
      <w:r w:rsidRPr="009E0336">
        <w:rPr>
          <w:rFonts w:ascii="Times New Roman" w:eastAsia="Times New Roman" w:hAnsi="Times New Roman" w:cs="Times New Roman"/>
          <w:kern w:val="0"/>
          <w:sz w:val="20"/>
          <w:szCs w:val="20"/>
          <w:lang w:eastAsia="hr-HR"/>
        </w:rPr>
        <w:t>.</w:t>
      </w:r>
    </w:p>
    <w:p w14:paraId="5DB815F6" w14:textId="47CC15BF" w:rsidR="005747F4" w:rsidRPr="009E0336" w:rsidRDefault="005747F4" w:rsidP="005747F4">
      <w:pPr>
        <w:spacing w:line="240" w:lineRule="auto"/>
        <w:jc w:val="both"/>
        <w:rPr>
          <w:rFonts w:ascii="Times New Roman" w:eastAsia="Times New Roman" w:hAnsi="Times New Roman" w:cs="Times New Roman"/>
          <w:kern w:val="0"/>
          <w:sz w:val="20"/>
          <w:szCs w:val="20"/>
          <w:lang w:eastAsia="hr-HR"/>
        </w:rPr>
      </w:pPr>
      <w:r w:rsidRPr="009E0336">
        <w:rPr>
          <w:rFonts w:ascii="Times New Roman" w:eastAsia="Times New Roman" w:hAnsi="Times New Roman" w:cs="Times New Roman"/>
          <w:kern w:val="0"/>
          <w:sz w:val="20"/>
          <w:szCs w:val="20"/>
          <w:lang w:eastAsia="hr-HR"/>
        </w:rPr>
        <w:t>Projekcija za 202</w:t>
      </w:r>
      <w:r w:rsidR="003E1F73" w:rsidRPr="009E0336">
        <w:rPr>
          <w:rFonts w:ascii="Times New Roman" w:eastAsia="Times New Roman" w:hAnsi="Times New Roman" w:cs="Times New Roman"/>
          <w:kern w:val="0"/>
          <w:sz w:val="20"/>
          <w:szCs w:val="20"/>
          <w:lang w:eastAsia="hr-HR"/>
        </w:rPr>
        <w:t>6</w:t>
      </w:r>
      <w:r w:rsidRPr="009E0336">
        <w:rPr>
          <w:rFonts w:ascii="Times New Roman" w:eastAsia="Times New Roman" w:hAnsi="Times New Roman" w:cs="Times New Roman"/>
          <w:kern w:val="0"/>
          <w:sz w:val="20"/>
          <w:szCs w:val="20"/>
          <w:lang w:eastAsia="hr-HR"/>
        </w:rPr>
        <w:t xml:space="preserve">.g. iznosi </w:t>
      </w:r>
      <w:r w:rsidR="003E1F73" w:rsidRPr="009E0336">
        <w:rPr>
          <w:rFonts w:ascii="Times New Roman" w:eastAsia="Times New Roman" w:hAnsi="Times New Roman" w:cs="Times New Roman"/>
          <w:kern w:val="0"/>
          <w:sz w:val="20"/>
          <w:szCs w:val="20"/>
          <w:lang w:eastAsia="hr-HR"/>
        </w:rPr>
        <w:t>2.200.000,00 €</w:t>
      </w:r>
      <w:r w:rsidRPr="009E0336">
        <w:rPr>
          <w:rFonts w:ascii="Times New Roman" w:eastAsia="Times New Roman" w:hAnsi="Times New Roman" w:cs="Times New Roman"/>
          <w:kern w:val="0"/>
          <w:sz w:val="20"/>
          <w:szCs w:val="20"/>
          <w:lang w:eastAsia="hr-HR"/>
        </w:rPr>
        <w:t xml:space="preserve"> što je </w:t>
      </w:r>
      <w:r w:rsidR="003E1F73" w:rsidRPr="009E0336">
        <w:rPr>
          <w:rFonts w:ascii="Times New Roman" w:eastAsia="Times New Roman" w:hAnsi="Times New Roman" w:cs="Times New Roman"/>
          <w:kern w:val="0"/>
          <w:sz w:val="20"/>
          <w:szCs w:val="20"/>
          <w:lang w:eastAsia="hr-HR"/>
        </w:rPr>
        <w:t>272.000,00 €</w:t>
      </w:r>
      <w:r w:rsidRPr="009E0336">
        <w:rPr>
          <w:rFonts w:ascii="Times New Roman" w:eastAsia="Times New Roman" w:hAnsi="Times New Roman" w:cs="Times New Roman"/>
          <w:kern w:val="0"/>
          <w:sz w:val="20"/>
          <w:szCs w:val="20"/>
          <w:lang w:eastAsia="hr-HR"/>
        </w:rPr>
        <w:t xml:space="preserve"> ili </w:t>
      </w:r>
      <w:r w:rsidR="003E1F73" w:rsidRPr="009E0336">
        <w:rPr>
          <w:rFonts w:ascii="Times New Roman" w:eastAsia="Times New Roman" w:hAnsi="Times New Roman" w:cs="Times New Roman"/>
          <w:kern w:val="0"/>
          <w:sz w:val="20"/>
          <w:szCs w:val="20"/>
          <w:lang w:eastAsia="hr-HR"/>
        </w:rPr>
        <w:t>14,1</w:t>
      </w:r>
      <w:r w:rsidRPr="009E0336">
        <w:rPr>
          <w:rFonts w:ascii="Times New Roman" w:eastAsia="Times New Roman" w:hAnsi="Times New Roman" w:cs="Times New Roman"/>
          <w:kern w:val="0"/>
          <w:sz w:val="20"/>
          <w:szCs w:val="20"/>
          <w:lang w:eastAsia="hr-HR"/>
        </w:rPr>
        <w:t xml:space="preserve"> % </w:t>
      </w:r>
      <w:r w:rsidR="003E1F73" w:rsidRPr="009E0336">
        <w:rPr>
          <w:rFonts w:ascii="Times New Roman" w:eastAsia="Times New Roman" w:hAnsi="Times New Roman" w:cs="Times New Roman"/>
          <w:kern w:val="0"/>
          <w:sz w:val="20"/>
          <w:szCs w:val="20"/>
          <w:lang w:eastAsia="hr-HR"/>
        </w:rPr>
        <w:t>više</w:t>
      </w:r>
      <w:r w:rsidRPr="009E0336">
        <w:rPr>
          <w:rFonts w:ascii="Times New Roman" w:eastAsia="Times New Roman" w:hAnsi="Times New Roman" w:cs="Times New Roman"/>
          <w:kern w:val="0"/>
          <w:sz w:val="20"/>
          <w:szCs w:val="20"/>
          <w:lang w:eastAsia="hr-HR"/>
        </w:rPr>
        <w:t xml:space="preserve"> nego u 202</w:t>
      </w:r>
      <w:r w:rsidR="003E1F73" w:rsidRPr="009E0336">
        <w:rPr>
          <w:rFonts w:ascii="Times New Roman" w:eastAsia="Times New Roman" w:hAnsi="Times New Roman" w:cs="Times New Roman"/>
          <w:kern w:val="0"/>
          <w:sz w:val="20"/>
          <w:szCs w:val="20"/>
          <w:lang w:eastAsia="hr-HR"/>
        </w:rPr>
        <w:t>5</w:t>
      </w:r>
      <w:r w:rsidRPr="009E0336">
        <w:rPr>
          <w:rFonts w:ascii="Times New Roman" w:eastAsia="Times New Roman" w:hAnsi="Times New Roman" w:cs="Times New Roman"/>
          <w:kern w:val="0"/>
          <w:sz w:val="20"/>
          <w:szCs w:val="20"/>
          <w:lang w:eastAsia="hr-HR"/>
        </w:rPr>
        <w:t>.g. dok za 202</w:t>
      </w:r>
      <w:r w:rsidR="003E1F73" w:rsidRPr="009E0336">
        <w:rPr>
          <w:rFonts w:ascii="Times New Roman" w:eastAsia="Times New Roman" w:hAnsi="Times New Roman" w:cs="Times New Roman"/>
          <w:kern w:val="0"/>
          <w:sz w:val="20"/>
          <w:szCs w:val="20"/>
          <w:lang w:eastAsia="hr-HR"/>
        </w:rPr>
        <w:t>7</w:t>
      </w:r>
      <w:r w:rsidRPr="009E0336">
        <w:rPr>
          <w:rFonts w:ascii="Times New Roman" w:eastAsia="Times New Roman" w:hAnsi="Times New Roman" w:cs="Times New Roman"/>
          <w:kern w:val="0"/>
          <w:sz w:val="20"/>
          <w:szCs w:val="20"/>
          <w:lang w:eastAsia="hr-HR"/>
        </w:rPr>
        <w:t xml:space="preserve">.g. projekcija iznosi </w:t>
      </w:r>
      <w:r w:rsidR="003E1F73" w:rsidRPr="009E0336">
        <w:rPr>
          <w:rFonts w:ascii="Times New Roman" w:eastAsia="Times New Roman" w:hAnsi="Times New Roman" w:cs="Times New Roman"/>
          <w:kern w:val="0"/>
          <w:sz w:val="20"/>
          <w:szCs w:val="20"/>
          <w:lang w:eastAsia="hr-HR"/>
        </w:rPr>
        <w:t>2.073.000,00 €</w:t>
      </w:r>
      <w:r w:rsidRPr="009E0336">
        <w:rPr>
          <w:rFonts w:ascii="Times New Roman" w:eastAsia="Times New Roman" w:hAnsi="Times New Roman" w:cs="Times New Roman"/>
          <w:kern w:val="0"/>
          <w:sz w:val="20"/>
          <w:szCs w:val="20"/>
          <w:lang w:eastAsia="hr-HR"/>
        </w:rPr>
        <w:t xml:space="preserve"> što je </w:t>
      </w:r>
      <w:r w:rsidR="003E1F73" w:rsidRPr="009E0336">
        <w:rPr>
          <w:rFonts w:ascii="Times New Roman" w:eastAsia="Times New Roman" w:hAnsi="Times New Roman" w:cs="Times New Roman"/>
          <w:kern w:val="0"/>
          <w:sz w:val="20"/>
          <w:szCs w:val="20"/>
          <w:lang w:eastAsia="hr-HR"/>
        </w:rPr>
        <w:t xml:space="preserve">127.000,00 € </w:t>
      </w:r>
      <w:r w:rsidRPr="009E0336">
        <w:rPr>
          <w:rFonts w:ascii="Times New Roman" w:eastAsia="Times New Roman" w:hAnsi="Times New Roman" w:cs="Times New Roman"/>
          <w:kern w:val="0"/>
          <w:sz w:val="20"/>
          <w:szCs w:val="20"/>
          <w:lang w:eastAsia="hr-HR"/>
        </w:rPr>
        <w:t xml:space="preserve">ili </w:t>
      </w:r>
      <w:r w:rsidR="003E1F73" w:rsidRPr="009E0336">
        <w:rPr>
          <w:rFonts w:ascii="Times New Roman" w:eastAsia="Times New Roman" w:hAnsi="Times New Roman" w:cs="Times New Roman"/>
          <w:kern w:val="0"/>
          <w:sz w:val="20"/>
          <w:szCs w:val="20"/>
          <w:lang w:eastAsia="hr-HR"/>
        </w:rPr>
        <w:t xml:space="preserve">5,8 </w:t>
      </w:r>
      <w:r w:rsidRPr="009E0336">
        <w:rPr>
          <w:rFonts w:ascii="Times New Roman" w:eastAsia="Times New Roman" w:hAnsi="Times New Roman" w:cs="Times New Roman"/>
          <w:kern w:val="0"/>
          <w:sz w:val="20"/>
          <w:szCs w:val="20"/>
          <w:lang w:eastAsia="hr-HR"/>
        </w:rPr>
        <w:t>% manje nego u 202</w:t>
      </w:r>
      <w:r w:rsidR="003E1F73" w:rsidRPr="009E0336">
        <w:rPr>
          <w:rFonts w:ascii="Times New Roman" w:eastAsia="Times New Roman" w:hAnsi="Times New Roman" w:cs="Times New Roman"/>
          <w:kern w:val="0"/>
          <w:sz w:val="20"/>
          <w:szCs w:val="20"/>
          <w:lang w:eastAsia="hr-HR"/>
        </w:rPr>
        <w:t>6</w:t>
      </w:r>
      <w:r w:rsidRPr="009E0336">
        <w:rPr>
          <w:rFonts w:ascii="Times New Roman" w:eastAsia="Times New Roman" w:hAnsi="Times New Roman" w:cs="Times New Roman"/>
          <w:kern w:val="0"/>
          <w:sz w:val="20"/>
          <w:szCs w:val="20"/>
          <w:lang w:eastAsia="hr-HR"/>
        </w:rPr>
        <w:t xml:space="preserve">.g. jer </w:t>
      </w:r>
      <w:r w:rsidR="003E1F73" w:rsidRPr="009E0336">
        <w:rPr>
          <w:rFonts w:ascii="Times New Roman" w:eastAsia="Times New Roman" w:hAnsi="Times New Roman" w:cs="Times New Roman"/>
          <w:kern w:val="0"/>
          <w:sz w:val="20"/>
          <w:szCs w:val="20"/>
          <w:lang w:eastAsia="hr-HR"/>
        </w:rPr>
        <w:t xml:space="preserve">je iz </w:t>
      </w:r>
      <w:r w:rsidR="006944F8" w:rsidRPr="009E0336">
        <w:rPr>
          <w:rFonts w:ascii="Times New Roman" w:eastAsia="Times New Roman" w:hAnsi="Times New Roman" w:cs="Times New Roman"/>
          <w:kern w:val="0"/>
          <w:sz w:val="20"/>
          <w:szCs w:val="20"/>
          <w:lang w:eastAsia="hr-HR"/>
        </w:rPr>
        <w:t xml:space="preserve">matičnih sredstva </w:t>
      </w:r>
      <w:r w:rsidR="003E1F73" w:rsidRPr="009E0336">
        <w:rPr>
          <w:rFonts w:ascii="Times New Roman" w:eastAsia="Times New Roman" w:hAnsi="Times New Roman" w:cs="Times New Roman"/>
          <w:kern w:val="0"/>
          <w:sz w:val="20"/>
          <w:szCs w:val="20"/>
          <w:lang w:eastAsia="hr-HR"/>
        </w:rPr>
        <w:t>Proračuna Spli</w:t>
      </w:r>
      <w:r w:rsidR="006944F8" w:rsidRPr="009E0336">
        <w:rPr>
          <w:rFonts w:ascii="Times New Roman" w:eastAsia="Times New Roman" w:hAnsi="Times New Roman" w:cs="Times New Roman"/>
          <w:kern w:val="0"/>
          <w:sz w:val="20"/>
          <w:szCs w:val="20"/>
          <w:lang w:eastAsia="hr-HR"/>
        </w:rPr>
        <w:t>tsko-</w:t>
      </w:r>
      <w:r w:rsidR="003E1F73" w:rsidRPr="009E0336">
        <w:rPr>
          <w:rFonts w:ascii="Times New Roman" w:eastAsia="Times New Roman" w:hAnsi="Times New Roman" w:cs="Times New Roman"/>
          <w:kern w:val="0"/>
          <w:sz w:val="20"/>
          <w:szCs w:val="20"/>
          <w:lang w:eastAsia="hr-HR"/>
        </w:rPr>
        <w:t xml:space="preserve">dalmatinske županije </w:t>
      </w:r>
      <w:r w:rsidR="006944F8" w:rsidRPr="009E0336">
        <w:rPr>
          <w:rFonts w:ascii="Times New Roman" w:eastAsia="Times New Roman" w:hAnsi="Times New Roman" w:cs="Times New Roman"/>
          <w:kern w:val="0"/>
          <w:sz w:val="20"/>
          <w:szCs w:val="20"/>
          <w:lang w:eastAsia="hr-HR"/>
        </w:rPr>
        <w:t xml:space="preserve">planirano manje sredstva za </w:t>
      </w:r>
      <w:r w:rsidRPr="009E0336">
        <w:rPr>
          <w:rFonts w:ascii="Times New Roman" w:eastAsia="Times New Roman" w:hAnsi="Times New Roman" w:cs="Times New Roman"/>
          <w:kern w:val="0"/>
          <w:sz w:val="20"/>
          <w:szCs w:val="20"/>
          <w:lang w:eastAsia="hr-HR"/>
        </w:rPr>
        <w:t>financira</w:t>
      </w:r>
      <w:r w:rsidR="006944F8" w:rsidRPr="009E0336">
        <w:rPr>
          <w:rFonts w:ascii="Times New Roman" w:eastAsia="Times New Roman" w:hAnsi="Times New Roman" w:cs="Times New Roman"/>
          <w:kern w:val="0"/>
          <w:sz w:val="20"/>
          <w:szCs w:val="20"/>
          <w:lang w:eastAsia="hr-HR"/>
        </w:rPr>
        <w:t>nje</w:t>
      </w:r>
      <w:r w:rsidRPr="009E0336">
        <w:rPr>
          <w:rFonts w:ascii="Times New Roman" w:eastAsia="Times New Roman" w:hAnsi="Times New Roman" w:cs="Times New Roman"/>
          <w:kern w:val="0"/>
          <w:sz w:val="20"/>
          <w:szCs w:val="20"/>
          <w:lang w:eastAsia="hr-HR"/>
        </w:rPr>
        <w:t xml:space="preserve"> rashod</w:t>
      </w:r>
      <w:r w:rsidR="006944F8" w:rsidRPr="009E0336">
        <w:rPr>
          <w:rFonts w:ascii="Times New Roman" w:eastAsia="Times New Roman" w:hAnsi="Times New Roman" w:cs="Times New Roman"/>
          <w:kern w:val="0"/>
          <w:sz w:val="20"/>
          <w:szCs w:val="20"/>
          <w:lang w:eastAsia="hr-HR"/>
        </w:rPr>
        <w:t>a</w:t>
      </w:r>
      <w:r w:rsidRPr="009E0336">
        <w:rPr>
          <w:rFonts w:ascii="Times New Roman" w:eastAsia="Times New Roman" w:hAnsi="Times New Roman" w:cs="Times New Roman"/>
          <w:kern w:val="0"/>
          <w:sz w:val="20"/>
          <w:szCs w:val="20"/>
          <w:lang w:eastAsia="hr-HR"/>
        </w:rPr>
        <w:t xml:space="preserve"> nabave opreme i vozila.</w:t>
      </w:r>
    </w:p>
    <w:p w14:paraId="7A2F5A27" w14:textId="77777777" w:rsidR="005747F4" w:rsidRPr="009E0336" w:rsidRDefault="005747F4" w:rsidP="005747F4">
      <w:pPr>
        <w:spacing w:line="240" w:lineRule="auto"/>
        <w:jc w:val="both"/>
        <w:rPr>
          <w:rFonts w:ascii="Times New Roman" w:eastAsia="Times New Roman" w:hAnsi="Times New Roman" w:cs="Times New Roman"/>
          <w:kern w:val="0"/>
          <w:sz w:val="20"/>
          <w:szCs w:val="20"/>
          <w:lang w:eastAsia="hr-HR"/>
        </w:rPr>
      </w:pPr>
      <w:r w:rsidRPr="009E0336">
        <w:rPr>
          <w:rFonts w:ascii="Times New Roman" w:eastAsia="Times New Roman" w:hAnsi="Times New Roman" w:cs="Times New Roman"/>
          <w:kern w:val="0"/>
          <w:sz w:val="20"/>
          <w:szCs w:val="20"/>
          <w:lang w:eastAsia="hr-HR"/>
        </w:rPr>
        <w:t>Rashodi prema funkcijskoj klasifikaciji planiraju se u cijelosti u okviru funkcije Zdravstvo (07), Služe za vanjske pacijente (072), Opće medicinske usluge (0721).</w:t>
      </w:r>
    </w:p>
    <w:p w14:paraId="59DD7583" w14:textId="7588BDE0" w:rsidR="00F0042B" w:rsidRPr="009E0336" w:rsidRDefault="00F0042B" w:rsidP="00F0042B">
      <w:pPr>
        <w:jc w:val="both"/>
        <w:rPr>
          <w:rFonts w:ascii="Times New Roman" w:hAnsi="Times New Roman" w:cs="Times New Roman"/>
          <w:b/>
          <w:bCs/>
          <w:sz w:val="20"/>
          <w:szCs w:val="20"/>
        </w:rPr>
      </w:pPr>
      <w:r w:rsidRPr="009E0336">
        <w:rPr>
          <w:rFonts w:ascii="Times New Roman" w:hAnsi="Times New Roman" w:cs="Times New Roman"/>
          <w:b/>
          <w:bCs/>
          <w:sz w:val="20"/>
          <w:szCs w:val="20"/>
        </w:rPr>
        <w:t xml:space="preserve">Obrazloženje prenesenog viška </w:t>
      </w:r>
    </w:p>
    <w:p w14:paraId="317384A7" w14:textId="77777777" w:rsidR="00F0042B" w:rsidRPr="009E0336" w:rsidRDefault="00F0042B" w:rsidP="00F0042B">
      <w:pPr>
        <w:autoSpaceDE w:val="0"/>
        <w:adjustRightInd w:val="0"/>
        <w:jc w:val="both"/>
        <w:rPr>
          <w:rFonts w:ascii="Times New Roman" w:hAnsi="Times New Roman" w:cs="Times New Roman"/>
          <w:bCs/>
          <w:sz w:val="20"/>
          <w:szCs w:val="20"/>
        </w:rPr>
      </w:pPr>
      <w:r w:rsidRPr="009E0336">
        <w:rPr>
          <w:rFonts w:ascii="Times New Roman" w:hAnsi="Times New Roman" w:cs="Times New Roman"/>
          <w:bCs/>
          <w:sz w:val="20"/>
          <w:szCs w:val="20"/>
        </w:rPr>
        <w:t>Rebalansom financijskog plana za 2024.g. planirano je da će se preneseni višak prihoda poslovanja iz izvora prihodi za posebne namjene (izvor 4.8. prihod od HZZO-a) u iznosu od 525.576,01 € utrošit za pokriće rashoda za zaposlene koji su prema novima propisima o plaći značajno porasli, a nisu popraćeni adekvatnim povećanjem prihoda od HZZO-a za ugovorene timove.</w:t>
      </w:r>
    </w:p>
    <w:p w14:paraId="2EF8D485" w14:textId="77777777" w:rsidR="00F0042B" w:rsidRPr="009E0336" w:rsidRDefault="00F0042B" w:rsidP="00F0042B">
      <w:pPr>
        <w:autoSpaceDE w:val="0"/>
        <w:adjustRightInd w:val="0"/>
        <w:jc w:val="both"/>
        <w:rPr>
          <w:rFonts w:ascii="Times New Roman" w:hAnsi="Times New Roman" w:cs="Times New Roman"/>
          <w:bCs/>
          <w:sz w:val="20"/>
          <w:szCs w:val="20"/>
        </w:rPr>
      </w:pPr>
      <w:r w:rsidRPr="009E0336">
        <w:rPr>
          <w:rFonts w:ascii="Times New Roman" w:hAnsi="Times New Roman" w:cs="Times New Roman"/>
          <w:bCs/>
          <w:sz w:val="20"/>
          <w:szCs w:val="20"/>
        </w:rPr>
        <w:t>Također, rebalansom financijskog plana za 2024.g. planirano je da će se preneseni manjak prihoda poslovanja u iznosu od 6.810,17 € (izvor 5.4. Pomoći od nenadležnog proračuna) pokrit većim prihodom poslovanja iz izvora pomoći (refundacija za posebnu nagradu Covid-19), te manjak u iznosu od 142.001,86 € (izvor 5.5 Pomoći EU) da će se pokrit većim prihodom iz izvora pomoći EU (Nacionalni plan oporavka i otpornosti) kojim se financira specijalizacija iz hitne medicine doktora medicine i prvostupnika sestrinstva.</w:t>
      </w:r>
    </w:p>
    <w:p w14:paraId="55EEF36F" w14:textId="7C1FE695" w:rsidR="00F0042B" w:rsidRPr="009E0336" w:rsidRDefault="00F0042B" w:rsidP="00F0042B">
      <w:pPr>
        <w:autoSpaceDE w:val="0"/>
        <w:adjustRightInd w:val="0"/>
        <w:spacing w:line="240" w:lineRule="auto"/>
        <w:jc w:val="both"/>
        <w:rPr>
          <w:rFonts w:ascii="Times New Roman" w:hAnsi="Times New Roman" w:cs="Times New Roman"/>
          <w:bCs/>
          <w:sz w:val="20"/>
          <w:szCs w:val="20"/>
        </w:rPr>
      </w:pPr>
      <w:r w:rsidRPr="009E0336">
        <w:rPr>
          <w:rFonts w:ascii="Times New Roman" w:hAnsi="Times New Roman" w:cs="Times New Roman"/>
          <w:bCs/>
          <w:sz w:val="20"/>
          <w:szCs w:val="20"/>
        </w:rPr>
        <w:t>Shodno tome, u planu za 2025.g. i projekcijama za 2026.g. i 2027.g.  ne planira se prijenos viška te se planira uravnotežen odnos prihoda i rashoda po svim izvorima financiranja.</w:t>
      </w:r>
    </w:p>
    <w:p w14:paraId="5BEF1D8A" w14:textId="77777777" w:rsidR="00460E19" w:rsidRPr="009E0336" w:rsidRDefault="00460E19" w:rsidP="00460E19">
      <w:pPr>
        <w:rPr>
          <w:rFonts w:ascii="Times New Roman" w:hAnsi="Times New Roman" w:cs="Times New Roman"/>
          <w:color w:val="FF0000"/>
          <w:sz w:val="20"/>
          <w:szCs w:val="20"/>
        </w:rPr>
      </w:pPr>
    </w:p>
    <w:p w14:paraId="3CD4C2F0" w14:textId="002DFD65" w:rsidR="00460E19" w:rsidRPr="009E0336" w:rsidRDefault="00403092" w:rsidP="00403092">
      <w:pPr>
        <w:pStyle w:val="Odlomakpopisa"/>
        <w:numPr>
          <w:ilvl w:val="0"/>
          <w:numId w:val="18"/>
        </w:numPr>
        <w:jc w:val="center"/>
        <w:rPr>
          <w:rFonts w:ascii="Times New Roman" w:hAnsi="Times New Roman" w:cs="Times New Roman"/>
          <w:b/>
          <w:bCs/>
          <w:sz w:val="20"/>
          <w:szCs w:val="20"/>
        </w:rPr>
      </w:pPr>
      <w:r w:rsidRPr="009E0336">
        <w:rPr>
          <w:rFonts w:ascii="Times New Roman" w:hAnsi="Times New Roman" w:cs="Times New Roman"/>
          <w:b/>
          <w:bCs/>
          <w:sz w:val="20"/>
          <w:szCs w:val="20"/>
        </w:rPr>
        <w:t>POSEBNI DIO</w:t>
      </w:r>
    </w:p>
    <w:p w14:paraId="7B4917ED" w14:textId="77777777" w:rsidR="00FA6BF1" w:rsidRPr="009E0336" w:rsidRDefault="00FA6BF1">
      <w:pPr>
        <w:pStyle w:val="Standard"/>
        <w:rPr>
          <w:b/>
          <w:bCs/>
          <w:color w:val="FF0000"/>
          <w:sz w:val="20"/>
          <w:szCs w:val="20"/>
        </w:rPr>
      </w:pPr>
    </w:p>
    <w:tbl>
      <w:tblPr>
        <w:tblW w:w="9459" w:type="dxa"/>
        <w:tblInd w:w="-108" w:type="dxa"/>
        <w:tblLayout w:type="fixed"/>
        <w:tblCellMar>
          <w:left w:w="10" w:type="dxa"/>
          <w:right w:w="10" w:type="dxa"/>
        </w:tblCellMar>
        <w:tblLook w:val="04A0" w:firstRow="1" w:lastRow="0" w:firstColumn="1" w:lastColumn="0" w:noHBand="0" w:noVBand="1"/>
      </w:tblPr>
      <w:tblGrid>
        <w:gridCol w:w="1521"/>
        <w:gridCol w:w="1701"/>
        <w:gridCol w:w="1559"/>
        <w:gridCol w:w="1559"/>
        <w:gridCol w:w="1560"/>
        <w:gridCol w:w="1559"/>
      </w:tblGrid>
      <w:tr w:rsidR="00FA6BF1" w:rsidRPr="009E0336" w14:paraId="085B1E9B" w14:textId="77777777" w:rsidTr="00FF68DC">
        <w:tc>
          <w:tcPr>
            <w:tcW w:w="152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E27CF44" w14:textId="77777777" w:rsidR="00FA6BF1" w:rsidRPr="009E0336" w:rsidRDefault="00091387">
            <w:pPr>
              <w:pStyle w:val="Standard"/>
              <w:rPr>
                <w:sz w:val="20"/>
                <w:szCs w:val="20"/>
              </w:rPr>
            </w:pPr>
            <w:r w:rsidRPr="009E0336">
              <w:rPr>
                <w:b/>
                <w:bCs/>
                <w:color w:val="000000"/>
                <w:sz w:val="20"/>
                <w:szCs w:val="20"/>
                <w:u w:val="single"/>
              </w:rPr>
              <w:t>PROGRAM:</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473A66" w14:textId="77777777" w:rsidR="00FA6BF1" w:rsidRPr="009E0336" w:rsidRDefault="00091387">
            <w:pPr>
              <w:pStyle w:val="Standard"/>
              <w:rPr>
                <w:sz w:val="20"/>
                <w:szCs w:val="20"/>
              </w:rPr>
            </w:pPr>
            <w:r w:rsidRPr="009E0336">
              <w:rPr>
                <w:b/>
                <w:bCs/>
                <w:color w:val="000000"/>
                <w:sz w:val="20"/>
                <w:szCs w:val="20"/>
              </w:rPr>
              <w:t>3020</w:t>
            </w:r>
          </w:p>
        </w:tc>
        <w:tc>
          <w:tcPr>
            <w:tcW w:w="6237"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981499" w14:textId="77777777" w:rsidR="00FA6BF1" w:rsidRPr="009E0336" w:rsidRDefault="00091387">
            <w:pPr>
              <w:pStyle w:val="Standard"/>
              <w:rPr>
                <w:sz w:val="20"/>
                <w:szCs w:val="20"/>
              </w:rPr>
            </w:pPr>
            <w:r w:rsidRPr="009E0336">
              <w:rPr>
                <w:b/>
                <w:bCs/>
                <w:color w:val="000000"/>
                <w:sz w:val="20"/>
                <w:szCs w:val="20"/>
              </w:rPr>
              <w:t>Zdravstvo</w:t>
            </w:r>
          </w:p>
        </w:tc>
      </w:tr>
      <w:tr w:rsidR="00FA6BF1" w:rsidRPr="009E0336" w14:paraId="12549769" w14:textId="77777777" w:rsidTr="00FF68DC">
        <w:tc>
          <w:tcPr>
            <w:tcW w:w="152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AB1DEE0" w14:textId="77777777" w:rsidR="00FA6BF1" w:rsidRPr="009E0336" w:rsidRDefault="00091387">
            <w:pPr>
              <w:pStyle w:val="Standard"/>
              <w:rPr>
                <w:sz w:val="20"/>
                <w:szCs w:val="20"/>
              </w:rPr>
            </w:pPr>
            <w:r w:rsidRPr="009E0336">
              <w:rPr>
                <w:b/>
                <w:bCs/>
                <w:color w:val="000000"/>
                <w:sz w:val="20"/>
                <w:szCs w:val="20"/>
              </w:rPr>
              <w:t>Cilj:</w:t>
            </w:r>
          </w:p>
        </w:tc>
        <w:tc>
          <w:tcPr>
            <w:tcW w:w="7938"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C0048E" w14:textId="04C1FDD4" w:rsidR="00FA6BF1" w:rsidRPr="009E0336" w:rsidRDefault="00091387" w:rsidP="00C97AA2">
            <w:pPr>
              <w:pStyle w:val="Textbody"/>
              <w:jc w:val="both"/>
              <w:rPr>
                <w:iCs/>
                <w:sz w:val="20"/>
                <w:szCs w:val="20"/>
              </w:rPr>
            </w:pPr>
            <w:r w:rsidRPr="009E0336">
              <w:rPr>
                <w:iCs/>
                <w:sz w:val="20"/>
                <w:szCs w:val="20"/>
              </w:rPr>
              <w:t>Kvalitetno obavljanje djelatnosti hitne medicine i sanitetskog prijevoza sukladno propisima i osiguranje dostupnosti svim korisnicima na području Splitsko-dalmatinske županije.</w:t>
            </w:r>
          </w:p>
          <w:p w14:paraId="557B7282" w14:textId="3F4F3B74" w:rsidR="00FA6BF1" w:rsidRPr="009E0336" w:rsidRDefault="00091387" w:rsidP="00C97AA2">
            <w:pPr>
              <w:pStyle w:val="Textbody"/>
              <w:jc w:val="both"/>
              <w:rPr>
                <w:iCs/>
                <w:sz w:val="20"/>
                <w:szCs w:val="20"/>
              </w:rPr>
            </w:pPr>
            <w:r w:rsidRPr="009E0336">
              <w:rPr>
                <w:iCs/>
                <w:sz w:val="20"/>
                <w:szCs w:val="20"/>
              </w:rPr>
              <w:t xml:space="preserve">Cilj programa je povećanje dostupnosti hitne medicine  i skraćivanje vremena intervencije timova hitne medicine, brži transport </w:t>
            </w:r>
            <w:r w:rsidR="00BA0995" w:rsidRPr="009E0336">
              <w:rPr>
                <w:iCs/>
                <w:sz w:val="20"/>
                <w:szCs w:val="20"/>
              </w:rPr>
              <w:t xml:space="preserve">i održavanje života </w:t>
            </w:r>
            <w:r w:rsidRPr="009E0336">
              <w:rPr>
                <w:iCs/>
                <w:sz w:val="20"/>
                <w:szCs w:val="20"/>
              </w:rPr>
              <w:t>bolesnih i ozlijeđenih osoba do zdravstvene ustanove gdje će se poduzeti mjere definitivnog liječenja, prijevoz svih nepokretnih ili teško pokretnih osoba sanitetskim vozilima na liječenje.</w:t>
            </w:r>
          </w:p>
          <w:p w14:paraId="7BE4C488" w14:textId="77777777" w:rsidR="00FA6BF1" w:rsidRPr="009E0336" w:rsidRDefault="00FA6BF1" w:rsidP="00C97AA2">
            <w:pPr>
              <w:pStyle w:val="Textbody"/>
              <w:jc w:val="both"/>
              <w:rPr>
                <w:iCs/>
                <w:sz w:val="20"/>
                <w:szCs w:val="20"/>
              </w:rPr>
            </w:pPr>
          </w:p>
        </w:tc>
      </w:tr>
      <w:tr w:rsidR="00FF68DC" w:rsidRPr="009E0336" w14:paraId="0C08AB19" w14:textId="1743C21F" w:rsidTr="00FF68DC">
        <w:trPr>
          <w:trHeight w:val="218"/>
        </w:trPr>
        <w:tc>
          <w:tcPr>
            <w:tcW w:w="152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2415050" w14:textId="16FF4ACC" w:rsidR="00FF68DC" w:rsidRPr="009E0336" w:rsidRDefault="00FF68DC">
            <w:pPr>
              <w:pStyle w:val="Standard"/>
              <w:jc w:val="center"/>
              <w:rPr>
                <w:sz w:val="20"/>
                <w:szCs w:val="20"/>
              </w:rPr>
            </w:pPr>
            <w:r w:rsidRPr="009E0336">
              <w:rPr>
                <w:b/>
                <w:bCs/>
                <w:color w:val="000000"/>
                <w:sz w:val="20"/>
                <w:szCs w:val="20"/>
              </w:rPr>
              <w:t>Izvršeno 202</w:t>
            </w:r>
            <w:r w:rsidR="00833F34" w:rsidRPr="009E0336">
              <w:rPr>
                <w:b/>
                <w:bCs/>
                <w:color w:val="000000"/>
                <w:sz w:val="20"/>
                <w:szCs w:val="20"/>
              </w:rPr>
              <w:t>3</w:t>
            </w:r>
            <w:r w:rsidRPr="009E0336">
              <w:rPr>
                <w:b/>
                <w:bCs/>
                <w:color w:val="000000"/>
                <w:sz w:val="20"/>
                <w:szCs w:val="20"/>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2EB2FD9B" w14:textId="28232984" w:rsidR="00FF68DC" w:rsidRPr="009E0336" w:rsidRDefault="00820E7E">
            <w:pPr>
              <w:pStyle w:val="Standard"/>
              <w:jc w:val="center"/>
              <w:rPr>
                <w:sz w:val="20"/>
                <w:szCs w:val="20"/>
              </w:rPr>
            </w:pPr>
            <w:r w:rsidRPr="009E0336">
              <w:rPr>
                <w:b/>
                <w:bCs/>
                <w:color w:val="000000"/>
                <w:sz w:val="20"/>
                <w:szCs w:val="20"/>
              </w:rPr>
              <w:t>Financijski plan</w:t>
            </w:r>
            <w:r w:rsidR="00FF68DC" w:rsidRPr="009E0336">
              <w:rPr>
                <w:b/>
                <w:bCs/>
                <w:color w:val="000000"/>
                <w:sz w:val="20"/>
                <w:szCs w:val="20"/>
              </w:rPr>
              <w:t xml:space="preserve"> 202</w:t>
            </w:r>
            <w:r w:rsidR="00833F34" w:rsidRPr="009E0336">
              <w:rPr>
                <w:b/>
                <w:bCs/>
                <w:color w:val="000000"/>
                <w:sz w:val="20"/>
                <w:szCs w:val="20"/>
              </w:rPr>
              <w:t>4</w:t>
            </w:r>
            <w:r w:rsidR="00FF68DC" w:rsidRPr="009E0336">
              <w:rPr>
                <w:b/>
                <w:bCs/>
                <w:color w:val="000000"/>
                <w:sz w:val="20"/>
                <w:szCs w:val="20"/>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23B7F668" w14:textId="6C0676E2" w:rsidR="00FF68DC" w:rsidRPr="009E0336" w:rsidRDefault="00FF68DC">
            <w:pPr>
              <w:pStyle w:val="Standard"/>
              <w:jc w:val="center"/>
              <w:rPr>
                <w:sz w:val="20"/>
                <w:szCs w:val="20"/>
              </w:rPr>
            </w:pPr>
            <w:r w:rsidRPr="009E0336">
              <w:rPr>
                <w:b/>
                <w:bCs/>
                <w:color w:val="000000"/>
                <w:sz w:val="20"/>
                <w:szCs w:val="20"/>
              </w:rPr>
              <w:t>I. Rebalans 202</w:t>
            </w:r>
            <w:r w:rsidR="00833F34" w:rsidRPr="009E0336">
              <w:rPr>
                <w:b/>
                <w:bCs/>
                <w:color w:val="000000"/>
                <w:sz w:val="20"/>
                <w:szCs w:val="20"/>
              </w:rPr>
              <w:t>4</w:t>
            </w:r>
            <w:r w:rsidRPr="009E0336">
              <w:rPr>
                <w:b/>
                <w:bCs/>
                <w:color w:val="000000"/>
                <w:sz w:val="20"/>
                <w:szCs w:val="20"/>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374B81D" w14:textId="1F8A04D9" w:rsidR="00FF68DC" w:rsidRPr="009E0336" w:rsidRDefault="00FF68DC">
            <w:pPr>
              <w:pStyle w:val="Standard"/>
              <w:jc w:val="center"/>
              <w:rPr>
                <w:sz w:val="20"/>
                <w:szCs w:val="20"/>
              </w:rPr>
            </w:pPr>
            <w:r w:rsidRPr="009E0336">
              <w:rPr>
                <w:b/>
                <w:bCs/>
                <w:color w:val="000000"/>
                <w:sz w:val="20"/>
                <w:szCs w:val="20"/>
              </w:rPr>
              <w:t>Plan 202</w:t>
            </w:r>
            <w:r w:rsidR="00833F34" w:rsidRPr="009E0336">
              <w:rPr>
                <w:b/>
                <w:bCs/>
                <w:color w:val="000000"/>
                <w:sz w:val="20"/>
                <w:szCs w:val="20"/>
              </w:rPr>
              <w:t>5</w:t>
            </w:r>
            <w:r w:rsidRPr="009E0336">
              <w:rPr>
                <w:b/>
                <w:bCs/>
                <w:color w:val="000000"/>
                <w:sz w:val="20"/>
                <w:szCs w:val="20"/>
              </w:rPr>
              <w:t>.</w:t>
            </w:r>
          </w:p>
        </w:tc>
        <w:tc>
          <w:tcPr>
            <w:tcW w:w="1560" w:type="dxa"/>
            <w:tcBorders>
              <w:top w:val="single" w:sz="4" w:space="0" w:color="00000A"/>
              <w:left w:val="single" w:sz="4" w:space="0" w:color="00000A"/>
              <w:bottom w:val="single" w:sz="4" w:space="0" w:color="00000A"/>
              <w:right w:val="single" w:sz="4" w:space="0" w:color="auto"/>
            </w:tcBorders>
            <w:shd w:val="clear" w:color="auto" w:fill="F2F2F2"/>
            <w:tcMar>
              <w:top w:w="0" w:type="dxa"/>
              <w:left w:w="108" w:type="dxa"/>
              <w:bottom w:w="0" w:type="dxa"/>
              <w:right w:w="108" w:type="dxa"/>
            </w:tcMar>
          </w:tcPr>
          <w:p w14:paraId="0FC8238E" w14:textId="57940870" w:rsidR="00FF68DC" w:rsidRPr="009E0336" w:rsidRDefault="00FF68DC" w:rsidP="00FF68DC">
            <w:pPr>
              <w:pStyle w:val="Standard"/>
              <w:rPr>
                <w:sz w:val="20"/>
                <w:szCs w:val="20"/>
              </w:rPr>
            </w:pPr>
            <w:r w:rsidRPr="009E0336">
              <w:rPr>
                <w:b/>
                <w:bCs/>
                <w:color w:val="000000"/>
                <w:sz w:val="20"/>
                <w:szCs w:val="20"/>
              </w:rPr>
              <w:t>Projekcija 202</w:t>
            </w:r>
            <w:r w:rsidR="00833F34" w:rsidRPr="009E0336">
              <w:rPr>
                <w:b/>
                <w:bCs/>
                <w:color w:val="000000"/>
                <w:sz w:val="20"/>
                <w:szCs w:val="20"/>
              </w:rPr>
              <w:t>6</w:t>
            </w:r>
            <w:r w:rsidRPr="009E0336">
              <w:rPr>
                <w:b/>
                <w:bCs/>
                <w:color w:val="000000"/>
                <w:sz w:val="20"/>
                <w:szCs w:val="20"/>
              </w:rPr>
              <w:t>.</w:t>
            </w:r>
          </w:p>
        </w:tc>
        <w:tc>
          <w:tcPr>
            <w:tcW w:w="1559" w:type="dxa"/>
            <w:tcBorders>
              <w:top w:val="single" w:sz="4" w:space="0" w:color="00000A"/>
              <w:left w:val="single" w:sz="4" w:space="0" w:color="auto"/>
              <w:bottom w:val="single" w:sz="4" w:space="0" w:color="00000A"/>
              <w:right w:val="single" w:sz="4" w:space="0" w:color="00000A"/>
            </w:tcBorders>
            <w:shd w:val="clear" w:color="auto" w:fill="F2F2F2"/>
          </w:tcPr>
          <w:p w14:paraId="7247F1EE" w14:textId="77777777" w:rsidR="00833F34" w:rsidRPr="009E0336" w:rsidRDefault="00FF68DC" w:rsidP="00FF68DC">
            <w:pPr>
              <w:pStyle w:val="Standard"/>
              <w:rPr>
                <w:b/>
                <w:bCs/>
                <w:color w:val="000000"/>
                <w:sz w:val="20"/>
                <w:szCs w:val="20"/>
              </w:rPr>
            </w:pPr>
            <w:r w:rsidRPr="009E0336">
              <w:rPr>
                <w:b/>
                <w:bCs/>
                <w:color w:val="000000"/>
                <w:sz w:val="20"/>
                <w:szCs w:val="20"/>
              </w:rPr>
              <w:t>Projekcija 202</w:t>
            </w:r>
            <w:r w:rsidR="00833F34" w:rsidRPr="009E0336">
              <w:rPr>
                <w:b/>
                <w:bCs/>
                <w:color w:val="000000"/>
                <w:sz w:val="20"/>
                <w:szCs w:val="20"/>
              </w:rPr>
              <w:t>7</w:t>
            </w:r>
          </w:p>
          <w:p w14:paraId="1D7AE70C" w14:textId="78B27BE5" w:rsidR="00FF68DC" w:rsidRPr="009E0336" w:rsidRDefault="00FF68DC" w:rsidP="00FF68DC">
            <w:pPr>
              <w:pStyle w:val="Standard"/>
              <w:rPr>
                <w:sz w:val="20"/>
                <w:szCs w:val="20"/>
              </w:rPr>
            </w:pPr>
            <w:r w:rsidRPr="009E0336">
              <w:rPr>
                <w:b/>
                <w:bCs/>
                <w:color w:val="000000"/>
                <w:sz w:val="20"/>
                <w:szCs w:val="20"/>
              </w:rPr>
              <w:t>.</w:t>
            </w:r>
          </w:p>
        </w:tc>
      </w:tr>
      <w:tr w:rsidR="00AE09D7" w:rsidRPr="009E0336" w14:paraId="751F9D71" w14:textId="388AADA0" w:rsidTr="00FF68DC">
        <w:trPr>
          <w:trHeight w:val="397"/>
        </w:trPr>
        <w:tc>
          <w:tcPr>
            <w:tcW w:w="15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988D83" w14:textId="787B27A7" w:rsidR="00AE09D7" w:rsidRPr="009E0336" w:rsidRDefault="00AB3CB4" w:rsidP="00AE09D7">
            <w:pPr>
              <w:pStyle w:val="Standard"/>
              <w:jc w:val="right"/>
              <w:rPr>
                <w:b/>
                <w:bCs/>
                <w:sz w:val="20"/>
                <w:szCs w:val="20"/>
              </w:rPr>
            </w:pPr>
            <w:r w:rsidRPr="009E0336">
              <w:rPr>
                <w:b/>
                <w:bCs/>
                <w:sz w:val="20"/>
                <w:szCs w:val="20"/>
              </w:rPr>
              <w:t>21.737.679,36</w:t>
            </w:r>
            <w:r w:rsidR="00AE09D7" w:rsidRPr="009E0336">
              <w:rPr>
                <w:b/>
                <w:bCs/>
                <w:sz w:val="20"/>
                <w:szCs w:val="20"/>
              </w:rPr>
              <w:t xml:space="preserve"> € </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79B39B" w14:textId="42AB797B" w:rsidR="00AE09D7" w:rsidRPr="009E0336" w:rsidRDefault="00704F6C" w:rsidP="00AE09D7">
            <w:pPr>
              <w:pStyle w:val="Standard"/>
              <w:jc w:val="right"/>
              <w:rPr>
                <w:b/>
                <w:bCs/>
                <w:sz w:val="20"/>
                <w:szCs w:val="20"/>
              </w:rPr>
            </w:pPr>
            <w:r w:rsidRPr="009E0336">
              <w:rPr>
                <w:b/>
                <w:bCs/>
                <w:sz w:val="20"/>
                <w:szCs w:val="20"/>
              </w:rPr>
              <w:t>24.819.000,00</w:t>
            </w:r>
            <w:r w:rsidR="008406D6" w:rsidRPr="009E0336">
              <w:rPr>
                <w:b/>
                <w:bCs/>
                <w:sz w:val="20"/>
                <w:szCs w:val="20"/>
              </w:rPr>
              <w:t xml:space="preserve"> </w:t>
            </w:r>
            <w:r w:rsidR="00AE09D7" w:rsidRPr="009E0336">
              <w:rPr>
                <w:b/>
                <w:bCs/>
                <w:sz w:val="20"/>
                <w:szCs w:val="20"/>
              </w:rPr>
              <w: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EC130F" w14:textId="47F0C540" w:rsidR="00AE09D7" w:rsidRPr="009E0336" w:rsidRDefault="00704F6C" w:rsidP="00AE09D7">
            <w:pPr>
              <w:pStyle w:val="Standard"/>
              <w:jc w:val="right"/>
              <w:rPr>
                <w:b/>
                <w:bCs/>
                <w:sz w:val="20"/>
                <w:szCs w:val="20"/>
              </w:rPr>
            </w:pPr>
            <w:r w:rsidRPr="009E0336">
              <w:rPr>
                <w:b/>
                <w:bCs/>
                <w:sz w:val="20"/>
                <w:szCs w:val="20"/>
              </w:rPr>
              <w:t>33.618.363,94</w:t>
            </w:r>
            <w:r w:rsidR="00B72274" w:rsidRPr="009E0336">
              <w:rPr>
                <w:b/>
                <w:bCs/>
                <w:sz w:val="20"/>
                <w:szCs w:val="20"/>
              </w:rPr>
              <w:t xml:space="preserve"> </w:t>
            </w:r>
            <w:r w:rsidR="00AE09D7" w:rsidRPr="009E0336">
              <w:rPr>
                <w:b/>
                <w:bCs/>
                <w:sz w:val="20"/>
                <w:szCs w:val="20"/>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A3E071" w14:textId="52D40E73" w:rsidR="00AE09D7" w:rsidRPr="009E0336" w:rsidRDefault="004A20AD" w:rsidP="00AE09D7">
            <w:pPr>
              <w:pStyle w:val="Standard"/>
              <w:jc w:val="right"/>
              <w:rPr>
                <w:b/>
                <w:bCs/>
                <w:sz w:val="20"/>
                <w:szCs w:val="20"/>
              </w:rPr>
            </w:pPr>
            <w:r w:rsidRPr="009E0336">
              <w:rPr>
                <w:b/>
                <w:bCs/>
                <w:sz w:val="20"/>
                <w:szCs w:val="20"/>
              </w:rPr>
              <w:t>33.076.000</w:t>
            </w:r>
            <w:r w:rsidR="00AE09D7" w:rsidRPr="009E0336">
              <w:rPr>
                <w:b/>
                <w:bCs/>
                <w:sz w:val="20"/>
                <w:szCs w:val="20"/>
              </w:rPr>
              <w:t>,00 €</w:t>
            </w:r>
          </w:p>
        </w:tc>
        <w:tc>
          <w:tcPr>
            <w:tcW w:w="1560"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14:paraId="2DE63F85" w14:textId="57BAE880" w:rsidR="00AE09D7" w:rsidRPr="009E0336" w:rsidRDefault="004A20AD" w:rsidP="00AE09D7">
            <w:pPr>
              <w:pStyle w:val="Standard"/>
              <w:rPr>
                <w:b/>
                <w:bCs/>
                <w:sz w:val="20"/>
                <w:szCs w:val="20"/>
              </w:rPr>
            </w:pPr>
            <w:r w:rsidRPr="009E0336">
              <w:rPr>
                <w:b/>
                <w:bCs/>
                <w:sz w:val="20"/>
                <w:szCs w:val="20"/>
              </w:rPr>
              <w:t>33.251</w:t>
            </w:r>
            <w:r w:rsidR="00AE09D7" w:rsidRPr="009E0336">
              <w:rPr>
                <w:b/>
                <w:bCs/>
                <w:sz w:val="20"/>
                <w:szCs w:val="20"/>
              </w:rPr>
              <w:t>.000,00 €</w:t>
            </w:r>
          </w:p>
        </w:tc>
        <w:tc>
          <w:tcPr>
            <w:tcW w:w="1559" w:type="dxa"/>
            <w:tcBorders>
              <w:top w:val="single" w:sz="4" w:space="0" w:color="00000A"/>
              <w:left w:val="single" w:sz="4" w:space="0" w:color="auto"/>
              <w:bottom w:val="single" w:sz="4" w:space="0" w:color="00000A"/>
              <w:right w:val="single" w:sz="4" w:space="0" w:color="00000A"/>
            </w:tcBorders>
            <w:shd w:val="clear" w:color="auto" w:fill="auto"/>
          </w:tcPr>
          <w:p w14:paraId="3B339690" w14:textId="0D94E775" w:rsidR="00AE09D7" w:rsidRPr="009E0336" w:rsidRDefault="00D0156B" w:rsidP="00AE09D7">
            <w:pPr>
              <w:pStyle w:val="Standard"/>
              <w:rPr>
                <w:b/>
                <w:bCs/>
                <w:sz w:val="20"/>
                <w:szCs w:val="20"/>
              </w:rPr>
            </w:pPr>
            <w:r w:rsidRPr="009E0336">
              <w:rPr>
                <w:b/>
                <w:bCs/>
                <w:sz w:val="20"/>
                <w:szCs w:val="20"/>
              </w:rPr>
              <w:t xml:space="preserve"> </w:t>
            </w:r>
            <w:r w:rsidR="004A20AD" w:rsidRPr="009E0336">
              <w:rPr>
                <w:b/>
                <w:bCs/>
                <w:sz w:val="20"/>
                <w:szCs w:val="20"/>
              </w:rPr>
              <w:t>33.870</w:t>
            </w:r>
            <w:r w:rsidRPr="009E0336">
              <w:rPr>
                <w:b/>
                <w:bCs/>
                <w:sz w:val="20"/>
                <w:szCs w:val="20"/>
              </w:rPr>
              <w:t xml:space="preserve">.000,00 </w:t>
            </w:r>
            <w:r w:rsidR="00AE09D7" w:rsidRPr="009E0336">
              <w:rPr>
                <w:b/>
                <w:bCs/>
                <w:sz w:val="20"/>
                <w:szCs w:val="20"/>
              </w:rPr>
              <w:t>€</w:t>
            </w:r>
          </w:p>
        </w:tc>
      </w:tr>
    </w:tbl>
    <w:p w14:paraId="58E7E6DE" w14:textId="77777777" w:rsidR="00FA6BF1" w:rsidRPr="009E0336" w:rsidRDefault="00FA6BF1">
      <w:pPr>
        <w:pStyle w:val="Standard"/>
        <w:rPr>
          <w:color w:val="FF0000"/>
          <w:sz w:val="20"/>
          <w:szCs w:val="20"/>
        </w:rPr>
      </w:pPr>
    </w:p>
    <w:p w14:paraId="5390C55D" w14:textId="77777777" w:rsidR="00FA6BF1" w:rsidRPr="009E0336" w:rsidRDefault="00FA6BF1">
      <w:pPr>
        <w:pStyle w:val="Standard"/>
        <w:rPr>
          <w:color w:val="FF0000"/>
          <w:sz w:val="20"/>
          <w:szCs w:val="20"/>
        </w:rPr>
      </w:pPr>
    </w:p>
    <w:tbl>
      <w:tblPr>
        <w:tblW w:w="9742" w:type="dxa"/>
        <w:tblInd w:w="-108" w:type="dxa"/>
        <w:tblLayout w:type="fixed"/>
        <w:tblCellMar>
          <w:left w:w="10" w:type="dxa"/>
          <w:right w:w="10" w:type="dxa"/>
        </w:tblCellMar>
        <w:tblLook w:val="04A0" w:firstRow="1" w:lastRow="0" w:firstColumn="1" w:lastColumn="0" w:noHBand="0" w:noVBand="1"/>
      </w:tblPr>
      <w:tblGrid>
        <w:gridCol w:w="1210"/>
        <w:gridCol w:w="1044"/>
        <w:gridCol w:w="957"/>
        <w:gridCol w:w="1271"/>
        <w:gridCol w:w="1141"/>
        <w:gridCol w:w="1211"/>
        <w:gridCol w:w="1262"/>
        <w:gridCol w:w="1646"/>
      </w:tblGrid>
      <w:tr w:rsidR="00FA6BF1" w:rsidRPr="009E0336" w14:paraId="7A6DB3B3" w14:textId="77777777" w:rsidTr="00702A1E">
        <w:trPr>
          <w:trHeight w:val="651"/>
        </w:trPr>
        <w:tc>
          <w:tcPr>
            <w:tcW w:w="12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3F05E25" w14:textId="77777777" w:rsidR="00FA6BF1" w:rsidRPr="009E0336" w:rsidRDefault="00091387">
            <w:pPr>
              <w:pStyle w:val="Standard"/>
              <w:jc w:val="center"/>
              <w:rPr>
                <w:sz w:val="20"/>
                <w:szCs w:val="20"/>
              </w:rPr>
            </w:pPr>
            <w:r w:rsidRPr="009E0336">
              <w:rPr>
                <w:b/>
                <w:sz w:val="20"/>
                <w:szCs w:val="20"/>
              </w:rPr>
              <w:t>Pokazatelj učinka</w:t>
            </w:r>
          </w:p>
        </w:tc>
        <w:tc>
          <w:tcPr>
            <w:tcW w:w="104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75897B7" w14:textId="77777777" w:rsidR="00FA6BF1" w:rsidRPr="009E0336" w:rsidRDefault="00091387">
            <w:pPr>
              <w:pStyle w:val="Standard"/>
              <w:jc w:val="center"/>
              <w:rPr>
                <w:sz w:val="20"/>
                <w:szCs w:val="20"/>
              </w:rPr>
            </w:pPr>
            <w:r w:rsidRPr="009E0336">
              <w:rPr>
                <w:b/>
                <w:sz w:val="20"/>
                <w:szCs w:val="20"/>
              </w:rPr>
              <w:t>Definicija</w:t>
            </w:r>
          </w:p>
        </w:tc>
        <w:tc>
          <w:tcPr>
            <w:tcW w:w="92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CC1456F" w14:textId="77777777" w:rsidR="00FA6BF1" w:rsidRPr="009E0336" w:rsidRDefault="00091387">
            <w:pPr>
              <w:pStyle w:val="Standard"/>
              <w:jc w:val="center"/>
              <w:rPr>
                <w:sz w:val="20"/>
                <w:szCs w:val="20"/>
              </w:rPr>
            </w:pPr>
            <w:r w:rsidRPr="009E0336">
              <w:rPr>
                <w:b/>
                <w:sz w:val="20"/>
                <w:szCs w:val="20"/>
              </w:rPr>
              <w:t>Jedinica</w:t>
            </w:r>
          </w:p>
        </w:tc>
        <w:tc>
          <w:tcPr>
            <w:tcW w:w="12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D919A21" w14:textId="6FB50187" w:rsidR="00FA6BF1" w:rsidRPr="009E0336" w:rsidRDefault="00091387">
            <w:pPr>
              <w:pStyle w:val="Standard"/>
              <w:jc w:val="center"/>
              <w:rPr>
                <w:sz w:val="20"/>
                <w:szCs w:val="20"/>
              </w:rPr>
            </w:pPr>
            <w:r w:rsidRPr="009E0336">
              <w:rPr>
                <w:b/>
                <w:sz w:val="20"/>
                <w:szCs w:val="20"/>
              </w:rPr>
              <w:t>Polazna vrijednost 202</w:t>
            </w:r>
            <w:r w:rsidR="007077C9" w:rsidRPr="009E0336">
              <w:rPr>
                <w:b/>
                <w:sz w:val="20"/>
                <w:szCs w:val="20"/>
              </w:rPr>
              <w:t>4</w:t>
            </w:r>
            <w:r w:rsidRPr="009E0336">
              <w:rPr>
                <w:b/>
                <w:sz w:val="20"/>
                <w:szCs w:val="20"/>
              </w:rPr>
              <w:t>.</w:t>
            </w:r>
          </w:p>
        </w:tc>
        <w:tc>
          <w:tcPr>
            <w:tcW w:w="114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5D29F8E" w14:textId="77777777" w:rsidR="00FA6BF1" w:rsidRPr="009E0336" w:rsidRDefault="00091387">
            <w:pPr>
              <w:pStyle w:val="Standard"/>
              <w:jc w:val="center"/>
              <w:rPr>
                <w:sz w:val="20"/>
                <w:szCs w:val="20"/>
              </w:rPr>
            </w:pPr>
            <w:r w:rsidRPr="009E0336">
              <w:rPr>
                <w:b/>
                <w:sz w:val="20"/>
                <w:szCs w:val="20"/>
              </w:rPr>
              <w:t>Izvor podataka</w:t>
            </w:r>
          </w:p>
        </w:tc>
        <w:tc>
          <w:tcPr>
            <w:tcW w:w="121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C3FF3F0" w14:textId="79164E07" w:rsidR="00FA6BF1" w:rsidRPr="009E0336" w:rsidRDefault="00091387">
            <w:pPr>
              <w:pStyle w:val="Standard"/>
              <w:jc w:val="center"/>
              <w:rPr>
                <w:sz w:val="20"/>
                <w:szCs w:val="20"/>
              </w:rPr>
            </w:pPr>
            <w:r w:rsidRPr="009E0336">
              <w:rPr>
                <w:b/>
                <w:sz w:val="20"/>
                <w:szCs w:val="20"/>
              </w:rPr>
              <w:t>Ciljana vrijednost 202</w:t>
            </w:r>
            <w:r w:rsidR="007077C9" w:rsidRPr="009E0336">
              <w:rPr>
                <w:b/>
                <w:sz w:val="20"/>
                <w:szCs w:val="20"/>
              </w:rPr>
              <w:t>5</w:t>
            </w:r>
            <w:r w:rsidRPr="009E0336">
              <w:rPr>
                <w:b/>
                <w:sz w:val="20"/>
                <w:szCs w:val="20"/>
              </w:rPr>
              <w:t>.</w:t>
            </w:r>
          </w:p>
        </w:tc>
        <w:tc>
          <w:tcPr>
            <w:tcW w:w="126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C7E007F" w14:textId="42C5D84E" w:rsidR="00FA6BF1" w:rsidRPr="009E0336" w:rsidRDefault="00091387">
            <w:pPr>
              <w:pStyle w:val="Standard"/>
              <w:jc w:val="center"/>
              <w:rPr>
                <w:sz w:val="20"/>
                <w:szCs w:val="20"/>
              </w:rPr>
            </w:pPr>
            <w:r w:rsidRPr="009E0336">
              <w:rPr>
                <w:b/>
                <w:sz w:val="20"/>
                <w:szCs w:val="20"/>
              </w:rPr>
              <w:t>Ciljana vrijednost 202</w:t>
            </w:r>
            <w:r w:rsidR="007077C9" w:rsidRPr="009E0336">
              <w:rPr>
                <w:b/>
                <w:sz w:val="20"/>
                <w:szCs w:val="20"/>
              </w:rPr>
              <w:t>6</w:t>
            </w:r>
            <w:r w:rsidRPr="009E0336">
              <w:rPr>
                <w:b/>
                <w:sz w:val="20"/>
                <w:szCs w:val="20"/>
              </w:rPr>
              <w:t>.</w:t>
            </w:r>
          </w:p>
        </w:tc>
        <w:tc>
          <w:tcPr>
            <w:tcW w:w="1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8E5FED4" w14:textId="3FA6CEBB" w:rsidR="00FA6BF1" w:rsidRPr="009E0336" w:rsidRDefault="00091387">
            <w:pPr>
              <w:pStyle w:val="Standard"/>
              <w:jc w:val="center"/>
              <w:rPr>
                <w:sz w:val="20"/>
                <w:szCs w:val="20"/>
              </w:rPr>
            </w:pPr>
            <w:r w:rsidRPr="009E0336">
              <w:rPr>
                <w:b/>
                <w:sz w:val="20"/>
                <w:szCs w:val="20"/>
              </w:rPr>
              <w:t>Ciljana vrijednost 202</w:t>
            </w:r>
            <w:r w:rsidR="007077C9" w:rsidRPr="009E0336">
              <w:rPr>
                <w:b/>
                <w:sz w:val="20"/>
                <w:szCs w:val="20"/>
              </w:rPr>
              <w:t>7</w:t>
            </w:r>
            <w:r w:rsidRPr="009E0336">
              <w:rPr>
                <w:b/>
                <w:sz w:val="20"/>
                <w:szCs w:val="20"/>
              </w:rPr>
              <w:t>.</w:t>
            </w:r>
          </w:p>
        </w:tc>
      </w:tr>
      <w:tr w:rsidR="00FA6BF1" w:rsidRPr="009E0336" w14:paraId="4C8226AA" w14:textId="77777777" w:rsidTr="00702A1E">
        <w:trPr>
          <w:trHeight w:val="219"/>
        </w:trPr>
        <w:tc>
          <w:tcPr>
            <w:tcW w:w="12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D93CC11" w14:textId="77777777" w:rsidR="00FA6BF1" w:rsidRPr="009E0336" w:rsidRDefault="00091387">
            <w:pPr>
              <w:pStyle w:val="Standard"/>
              <w:rPr>
                <w:sz w:val="20"/>
                <w:szCs w:val="20"/>
              </w:rPr>
            </w:pPr>
            <w:r w:rsidRPr="009E0336">
              <w:rPr>
                <w:sz w:val="20"/>
                <w:szCs w:val="20"/>
              </w:rPr>
              <w:lastRenderedPageBreak/>
              <w:t>Kontinuitet u održavanju kratkog vremena odaziva od zaprimanja poziva do dolaska na intervenciju</w:t>
            </w:r>
          </w:p>
          <w:p w14:paraId="0A0893B4" w14:textId="77777777" w:rsidR="00FA6BF1" w:rsidRPr="009E0336" w:rsidRDefault="00FA6BF1">
            <w:pPr>
              <w:pStyle w:val="Standard"/>
              <w:rPr>
                <w:color w:val="FF0000"/>
                <w:sz w:val="20"/>
                <w:szCs w:val="20"/>
              </w:rPr>
            </w:pPr>
          </w:p>
          <w:p w14:paraId="0617069C" w14:textId="77777777" w:rsidR="00FA6BF1" w:rsidRPr="009E0336" w:rsidRDefault="00FA6BF1">
            <w:pPr>
              <w:pStyle w:val="Standard"/>
              <w:rPr>
                <w:color w:val="FF0000"/>
                <w:sz w:val="20"/>
                <w:szCs w:val="2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653436" w14:textId="77777777" w:rsidR="00FA6BF1" w:rsidRPr="009E0336" w:rsidRDefault="00091387">
            <w:pPr>
              <w:pStyle w:val="Textbody"/>
              <w:rPr>
                <w:sz w:val="20"/>
                <w:szCs w:val="20"/>
              </w:rPr>
            </w:pPr>
            <w:r w:rsidRPr="009E0336">
              <w:rPr>
                <w:sz w:val="20"/>
                <w:szCs w:val="20"/>
              </w:rPr>
              <w:t>Brzim dolaskom na mjesto intervencije veće su mogućnosti spašavanja života i očuvanja zdravlja osoba</w:t>
            </w:r>
          </w:p>
          <w:p w14:paraId="1190D589" w14:textId="77777777" w:rsidR="00FA6BF1" w:rsidRPr="009E0336" w:rsidRDefault="00FA6BF1">
            <w:pPr>
              <w:pStyle w:val="Standard"/>
              <w:rPr>
                <w:sz w:val="20"/>
                <w:szCs w:val="20"/>
              </w:rPr>
            </w:pPr>
          </w:p>
        </w:tc>
        <w:tc>
          <w:tcPr>
            <w:tcW w:w="9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5C9B0B" w14:textId="77777777" w:rsidR="00FA6BF1" w:rsidRPr="009E0336" w:rsidRDefault="00091387">
            <w:pPr>
              <w:pStyle w:val="Standard"/>
              <w:rPr>
                <w:sz w:val="20"/>
                <w:szCs w:val="20"/>
              </w:rPr>
            </w:pPr>
            <w:r w:rsidRPr="009E0336">
              <w:rPr>
                <w:sz w:val="20"/>
                <w:szCs w:val="20"/>
              </w:rPr>
              <w:t>minuta</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B4F0A2" w14:textId="77777777" w:rsidR="00FA6BF1" w:rsidRPr="009E0336" w:rsidRDefault="00091387">
            <w:pPr>
              <w:pStyle w:val="Standard"/>
              <w:rPr>
                <w:sz w:val="20"/>
                <w:szCs w:val="20"/>
              </w:rPr>
            </w:pPr>
            <w:r w:rsidRPr="009E0336">
              <w:rPr>
                <w:sz w:val="20"/>
                <w:szCs w:val="20"/>
              </w:rPr>
              <w:t>13</w:t>
            </w:r>
          </w:p>
        </w:tc>
        <w:tc>
          <w:tcPr>
            <w:tcW w:w="11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801F3D" w14:textId="48003793" w:rsidR="00FA6BF1" w:rsidRPr="009E0336" w:rsidRDefault="00091387">
            <w:pPr>
              <w:pStyle w:val="Standard"/>
              <w:rPr>
                <w:sz w:val="20"/>
                <w:szCs w:val="20"/>
              </w:rPr>
            </w:pPr>
            <w:r w:rsidRPr="009E0336">
              <w:rPr>
                <w:sz w:val="20"/>
                <w:szCs w:val="20"/>
              </w:rPr>
              <w:t>Z</w:t>
            </w:r>
            <w:r w:rsidR="00A43490" w:rsidRPr="009E0336">
              <w:rPr>
                <w:sz w:val="20"/>
                <w:szCs w:val="20"/>
              </w:rPr>
              <w:t>avod</w:t>
            </w:r>
          </w:p>
        </w:tc>
        <w:tc>
          <w:tcPr>
            <w:tcW w:w="12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3B3D54" w14:textId="77777777" w:rsidR="00FA6BF1" w:rsidRPr="009E0336" w:rsidRDefault="00091387">
            <w:pPr>
              <w:pStyle w:val="Standard"/>
              <w:rPr>
                <w:sz w:val="20"/>
                <w:szCs w:val="20"/>
              </w:rPr>
            </w:pPr>
            <w:r w:rsidRPr="009E0336">
              <w:rPr>
                <w:sz w:val="20"/>
                <w:szCs w:val="20"/>
              </w:rPr>
              <w:t>13</w:t>
            </w:r>
          </w:p>
        </w:tc>
        <w:tc>
          <w:tcPr>
            <w:tcW w:w="12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AC9502" w14:textId="77777777" w:rsidR="00FA6BF1" w:rsidRPr="009E0336" w:rsidRDefault="00091387">
            <w:pPr>
              <w:pStyle w:val="Standard"/>
              <w:rPr>
                <w:sz w:val="20"/>
                <w:szCs w:val="20"/>
              </w:rPr>
            </w:pPr>
            <w:r w:rsidRPr="009E0336">
              <w:rPr>
                <w:sz w:val="20"/>
                <w:szCs w:val="20"/>
              </w:rPr>
              <w:t>13</w:t>
            </w:r>
          </w:p>
        </w:tc>
        <w:tc>
          <w:tcPr>
            <w:tcW w:w="16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3DD513B" w14:textId="77777777" w:rsidR="00FA6BF1" w:rsidRPr="009E0336" w:rsidRDefault="00091387">
            <w:pPr>
              <w:pStyle w:val="Standard"/>
              <w:rPr>
                <w:sz w:val="20"/>
                <w:szCs w:val="20"/>
              </w:rPr>
            </w:pPr>
            <w:r w:rsidRPr="009E0336">
              <w:rPr>
                <w:sz w:val="20"/>
                <w:szCs w:val="20"/>
              </w:rPr>
              <w:t>13</w:t>
            </w:r>
          </w:p>
        </w:tc>
      </w:tr>
      <w:tr w:rsidR="00FA6BF1" w:rsidRPr="009E0336" w14:paraId="1488E2C4" w14:textId="77777777" w:rsidTr="00702A1E">
        <w:trPr>
          <w:trHeight w:val="219"/>
        </w:trPr>
        <w:tc>
          <w:tcPr>
            <w:tcW w:w="12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12269E" w14:textId="77777777" w:rsidR="00FA6BF1" w:rsidRPr="009E0336" w:rsidRDefault="00091387">
            <w:pPr>
              <w:pStyle w:val="Standard"/>
              <w:rPr>
                <w:sz w:val="20"/>
                <w:szCs w:val="20"/>
              </w:rPr>
            </w:pPr>
            <w:r w:rsidRPr="009E0336">
              <w:rPr>
                <w:sz w:val="20"/>
                <w:szCs w:val="20"/>
              </w:rPr>
              <w:t>Povećan postotak  povrata spontanog krvotoka (ROSC) do OHBP-a prema UTSTEIN obrascu</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605397" w14:textId="77777777" w:rsidR="00FA6BF1" w:rsidRPr="009E0336" w:rsidRDefault="00091387">
            <w:pPr>
              <w:pStyle w:val="Standard"/>
              <w:rPr>
                <w:sz w:val="20"/>
                <w:szCs w:val="20"/>
              </w:rPr>
            </w:pPr>
            <w:r w:rsidRPr="009E0336">
              <w:rPr>
                <w:sz w:val="20"/>
                <w:szCs w:val="20"/>
              </w:rPr>
              <w:t>Povratak krvotoka (cirkulacije) spašava ljudski život</w:t>
            </w:r>
          </w:p>
        </w:tc>
        <w:tc>
          <w:tcPr>
            <w:tcW w:w="9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7399AE" w14:textId="77777777" w:rsidR="00FA6BF1" w:rsidRPr="009E0336" w:rsidRDefault="00091387">
            <w:pPr>
              <w:pStyle w:val="Standard"/>
              <w:rPr>
                <w:sz w:val="20"/>
                <w:szCs w:val="20"/>
              </w:rPr>
            </w:pPr>
            <w:r w:rsidRPr="009E0336">
              <w:rPr>
                <w:sz w:val="20"/>
                <w:szCs w:val="20"/>
              </w:rPr>
              <w: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DB692C" w14:textId="468409B5" w:rsidR="00FA6BF1" w:rsidRPr="009E0336" w:rsidRDefault="00E76181">
            <w:pPr>
              <w:pStyle w:val="Standard"/>
              <w:rPr>
                <w:sz w:val="20"/>
                <w:szCs w:val="20"/>
              </w:rPr>
            </w:pPr>
            <w:r w:rsidRPr="009E0336">
              <w:rPr>
                <w:sz w:val="20"/>
                <w:szCs w:val="20"/>
              </w:rPr>
              <w:t>1</w:t>
            </w:r>
            <w:r w:rsidR="004F7840" w:rsidRPr="009E0336">
              <w:rPr>
                <w:sz w:val="20"/>
                <w:szCs w:val="20"/>
              </w:rPr>
              <w:t>7</w:t>
            </w:r>
          </w:p>
          <w:p w14:paraId="465EA955" w14:textId="77777777" w:rsidR="00FA6BF1" w:rsidRPr="009E0336" w:rsidRDefault="00FA6BF1">
            <w:pPr>
              <w:pStyle w:val="Standard"/>
              <w:rPr>
                <w:sz w:val="20"/>
                <w:szCs w:val="20"/>
              </w:rPr>
            </w:pPr>
          </w:p>
        </w:tc>
        <w:tc>
          <w:tcPr>
            <w:tcW w:w="11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92EE62" w14:textId="3731BFEC" w:rsidR="00FA6BF1" w:rsidRPr="009E0336" w:rsidRDefault="00091387">
            <w:pPr>
              <w:pStyle w:val="Standard"/>
              <w:rPr>
                <w:sz w:val="20"/>
                <w:szCs w:val="20"/>
              </w:rPr>
            </w:pPr>
            <w:r w:rsidRPr="009E0336">
              <w:rPr>
                <w:sz w:val="20"/>
                <w:szCs w:val="20"/>
              </w:rPr>
              <w:t>Z</w:t>
            </w:r>
            <w:r w:rsidR="00A43490" w:rsidRPr="009E0336">
              <w:rPr>
                <w:sz w:val="20"/>
                <w:szCs w:val="20"/>
              </w:rPr>
              <w:t>avod</w:t>
            </w:r>
          </w:p>
        </w:tc>
        <w:tc>
          <w:tcPr>
            <w:tcW w:w="12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CFEA88" w14:textId="755F90DD" w:rsidR="00FA6BF1" w:rsidRPr="009E0336" w:rsidRDefault="00E76181">
            <w:pPr>
              <w:pStyle w:val="Standard"/>
              <w:rPr>
                <w:sz w:val="20"/>
                <w:szCs w:val="20"/>
              </w:rPr>
            </w:pPr>
            <w:r w:rsidRPr="009E0336">
              <w:rPr>
                <w:sz w:val="20"/>
                <w:szCs w:val="20"/>
              </w:rPr>
              <w:t>1</w:t>
            </w:r>
            <w:r w:rsidR="004F7840" w:rsidRPr="009E0336">
              <w:rPr>
                <w:sz w:val="20"/>
                <w:szCs w:val="20"/>
              </w:rPr>
              <w:t>8</w:t>
            </w:r>
          </w:p>
        </w:tc>
        <w:tc>
          <w:tcPr>
            <w:tcW w:w="12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6567CD" w14:textId="7836A888" w:rsidR="00FA6BF1" w:rsidRPr="009E0336" w:rsidRDefault="00091387">
            <w:pPr>
              <w:pStyle w:val="Standard"/>
              <w:rPr>
                <w:sz w:val="20"/>
                <w:szCs w:val="20"/>
              </w:rPr>
            </w:pPr>
            <w:r w:rsidRPr="009E0336">
              <w:rPr>
                <w:sz w:val="20"/>
                <w:szCs w:val="20"/>
              </w:rPr>
              <w:t>1</w:t>
            </w:r>
            <w:r w:rsidR="004F7840" w:rsidRPr="009E0336">
              <w:rPr>
                <w:sz w:val="20"/>
                <w:szCs w:val="20"/>
              </w:rPr>
              <w:t>9</w:t>
            </w:r>
          </w:p>
        </w:tc>
        <w:tc>
          <w:tcPr>
            <w:tcW w:w="16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4C222E" w14:textId="2D30BC8C" w:rsidR="00FA6BF1" w:rsidRPr="009E0336" w:rsidRDefault="004F7840">
            <w:pPr>
              <w:pStyle w:val="Standard"/>
              <w:rPr>
                <w:sz w:val="20"/>
                <w:szCs w:val="20"/>
              </w:rPr>
            </w:pPr>
            <w:r w:rsidRPr="009E0336">
              <w:rPr>
                <w:sz w:val="20"/>
                <w:szCs w:val="20"/>
              </w:rPr>
              <w:t>20</w:t>
            </w:r>
          </w:p>
          <w:p w14:paraId="6AC7F82E" w14:textId="77777777" w:rsidR="00FA6BF1" w:rsidRPr="009E0336" w:rsidRDefault="00FA6BF1">
            <w:pPr>
              <w:pStyle w:val="Standard"/>
              <w:rPr>
                <w:sz w:val="20"/>
                <w:szCs w:val="20"/>
              </w:rPr>
            </w:pPr>
          </w:p>
        </w:tc>
      </w:tr>
      <w:tr w:rsidR="00FA6BF1" w:rsidRPr="009E0336" w14:paraId="20074ACB" w14:textId="77777777" w:rsidTr="00702A1E">
        <w:trPr>
          <w:trHeight w:val="219"/>
        </w:trPr>
        <w:tc>
          <w:tcPr>
            <w:tcW w:w="12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703BF6" w14:textId="77777777" w:rsidR="00FA6BF1" w:rsidRPr="009E0336" w:rsidRDefault="00FA6BF1">
            <w:pPr>
              <w:pStyle w:val="Standard"/>
              <w:rPr>
                <w:sz w:val="20"/>
                <w:szCs w:val="2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B94681" w14:textId="77777777" w:rsidR="00FA6BF1" w:rsidRPr="009E0336" w:rsidRDefault="00FA6BF1">
            <w:pPr>
              <w:pStyle w:val="Standard"/>
              <w:rPr>
                <w:sz w:val="20"/>
                <w:szCs w:val="20"/>
              </w:rPr>
            </w:pPr>
          </w:p>
        </w:tc>
        <w:tc>
          <w:tcPr>
            <w:tcW w:w="9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D27931" w14:textId="77777777" w:rsidR="00FA6BF1" w:rsidRPr="009E0336" w:rsidRDefault="00FA6BF1">
            <w:pPr>
              <w:pStyle w:val="Standard"/>
              <w:rPr>
                <w:sz w:val="20"/>
                <w:szCs w:val="20"/>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7FF45E" w14:textId="77777777" w:rsidR="00FA6BF1" w:rsidRPr="009E0336" w:rsidRDefault="00FA6BF1">
            <w:pPr>
              <w:pStyle w:val="Standard"/>
              <w:rPr>
                <w:sz w:val="20"/>
                <w:szCs w:val="20"/>
              </w:rPr>
            </w:pPr>
          </w:p>
        </w:tc>
        <w:tc>
          <w:tcPr>
            <w:tcW w:w="11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CE6A08" w14:textId="77777777" w:rsidR="00FA6BF1" w:rsidRPr="009E0336" w:rsidRDefault="00FA6BF1">
            <w:pPr>
              <w:pStyle w:val="Standard"/>
              <w:rPr>
                <w:sz w:val="20"/>
                <w:szCs w:val="20"/>
              </w:rPr>
            </w:pPr>
          </w:p>
        </w:tc>
        <w:tc>
          <w:tcPr>
            <w:tcW w:w="12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C66B02" w14:textId="77777777" w:rsidR="00FA6BF1" w:rsidRPr="009E0336" w:rsidRDefault="00FA6BF1">
            <w:pPr>
              <w:pStyle w:val="Standard"/>
              <w:rPr>
                <w:sz w:val="20"/>
                <w:szCs w:val="20"/>
              </w:rPr>
            </w:pPr>
          </w:p>
        </w:tc>
        <w:tc>
          <w:tcPr>
            <w:tcW w:w="12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003F03F" w14:textId="77777777" w:rsidR="00FA6BF1" w:rsidRPr="009E0336" w:rsidRDefault="00FA6BF1">
            <w:pPr>
              <w:pStyle w:val="Standard"/>
              <w:rPr>
                <w:sz w:val="20"/>
                <w:szCs w:val="20"/>
              </w:rPr>
            </w:pPr>
          </w:p>
        </w:tc>
        <w:tc>
          <w:tcPr>
            <w:tcW w:w="16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249225" w14:textId="77777777" w:rsidR="00FA6BF1" w:rsidRPr="009E0336" w:rsidRDefault="00FA6BF1">
            <w:pPr>
              <w:pStyle w:val="Standard"/>
              <w:rPr>
                <w:sz w:val="20"/>
                <w:szCs w:val="20"/>
              </w:rPr>
            </w:pPr>
          </w:p>
        </w:tc>
      </w:tr>
      <w:tr w:rsidR="00FA6BF1" w:rsidRPr="009E0336" w14:paraId="75326BC6" w14:textId="77777777" w:rsidTr="00702A1E">
        <w:trPr>
          <w:trHeight w:val="517"/>
        </w:trPr>
        <w:tc>
          <w:tcPr>
            <w:tcW w:w="12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2CD0DCF" w14:textId="77777777" w:rsidR="00FA6BF1" w:rsidRPr="009E0336" w:rsidRDefault="00091387">
            <w:pPr>
              <w:pStyle w:val="Standard"/>
              <w:rPr>
                <w:sz w:val="20"/>
                <w:szCs w:val="20"/>
              </w:rPr>
            </w:pPr>
            <w:r w:rsidRPr="009E0336">
              <w:rPr>
                <w:b/>
                <w:bCs/>
                <w:color w:val="000000"/>
                <w:sz w:val="20"/>
                <w:szCs w:val="20"/>
              </w:rPr>
              <w:t>Aktivnost/ Projekt:</w:t>
            </w:r>
          </w:p>
        </w:tc>
        <w:tc>
          <w:tcPr>
            <w:tcW w:w="200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97A3A8" w14:textId="77777777" w:rsidR="00FA6BF1" w:rsidRPr="009E0336" w:rsidRDefault="00091387">
            <w:pPr>
              <w:pStyle w:val="Standard"/>
              <w:rPr>
                <w:sz w:val="20"/>
                <w:szCs w:val="20"/>
              </w:rPr>
            </w:pPr>
            <w:r w:rsidRPr="009E0336">
              <w:rPr>
                <w:b/>
                <w:bCs/>
                <w:color w:val="000000"/>
                <w:sz w:val="20"/>
                <w:szCs w:val="20"/>
              </w:rPr>
              <w:t>A003020A302001</w:t>
            </w:r>
          </w:p>
        </w:tc>
        <w:tc>
          <w:tcPr>
            <w:tcW w:w="6520"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6E1543" w14:textId="77777777" w:rsidR="00FA6BF1" w:rsidRPr="009E0336" w:rsidRDefault="00091387">
            <w:pPr>
              <w:pStyle w:val="Standard"/>
              <w:rPr>
                <w:sz w:val="20"/>
                <w:szCs w:val="20"/>
              </w:rPr>
            </w:pPr>
            <w:r w:rsidRPr="009E0336">
              <w:rPr>
                <w:b/>
                <w:bCs/>
                <w:color w:val="000000"/>
                <w:sz w:val="20"/>
                <w:szCs w:val="20"/>
              </w:rPr>
              <w:t>Rashodi djelatnosti</w:t>
            </w:r>
          </w:p>
        </w:tc>
      </w:tr>
      <w:tr w:rsidR="00FA6BF1" w:rsidRPr="009E0336" w14:paraId="3F71F494" w14:textId="77777777" w:rsidTr="00702A1E">
        <w:trPr>
          <w:trHeight w:val="517"/>
        </w:trPr>
        <w:tc>
          <w:tcPr>
            <w:tcW w:w="12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A5D933A" w14:textId="77777777" w:rsidR="00FA6BF1" w:rsidRPr="009E0336" w:rsidRDefault="00091387">
            <w:pPr>
              <w:pStyle w:val="Standard"/>
              <w:rPr>
                <w:sz w:val="20"/>
                <w:szCs w:val="20"/>
              </w:rPr>
            </w:pPr>
            <w:r w:rsidRPr="009E0336">
              <w:rPr>
                <w:b/>
                <w:bCs/>
                <w:color w:val="000000"/>
                <w:sz w:val="20"/>
                <w:szCs w:val="20"/>
              </w:rPr>
              <w:t>Zakonska i druga pravna osnova:</w:t>
            </w:r>
          </w:p>
        </w:tc>
        <w:tc>
          <w:tcPr>
            <w:tcW w:w="8528"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C7FAEC" w14:textId="21336E28" w:rsidR="00FA6BF1" w:rsidRPr="009E0336" w:rsidRDefault="00091387" w:rsidP="00C97AA2">
            <w:pPr>
              <w:pStyle w:val="Standard"/>
              <w:jc w:val="both"/>
              <w:rPr>
                <w:sz w:val="20"/>
                <w:szCs w:val="20"/>
              </w:rPr>
            </w:pPr>
            <w:r w:rsidRPr="009E0336">
              <w:rPr>
                <w:rFonts w:eastAsia="Symbol"/>
                <w:sz w:val="20"/>
                <w:szCs w:val="20"/>
                <w:lang w:val="pl-PL"/>
              </w:rPr>
              <w:t xml:space="preserve">Zakon o zdravstvenoj zaštiti, Zakon o obveznom zdravstvenom osiguranju, </w:t>
            </w:r>
            <w:r w:rsidR="0019181E" w:rsidRPr="009E0336">
              <w:rPr>
                <w:rFonts w:eastAsia="Symbol"/>
                <w:sz w:val="20"/>
                <w:szCs w:val="20"/>
                <w:lang w:val="pl-PL"/>
              </w:rPr>
              <w:t xml:space="preserve">Mreža hitne medicine i sanitetskog prijevoza, </w:t>
            </w:r>
            <w:r w:rsidR="00C97F9A" w:rsidRPr="009E0336">
              <w:rPr>
                <w:rFonts w:eastAsia="Symbol"/>
                <w:sz w:val="20"/>
                <w:szCs w:val="20"/>
                <w:lang w:val="pl-PL"/>
              </w:rPr>
              <w:t xml:space="preserve">Pravilnik o standardima i normativima u pogledu prostora, radnika i medicinsko-tehničke opreme za obavljanje djelatnosti hitne medicine i djelatnosti sanitetskog prijevoza, </w:t>
            </w:r>
            <w:r w:rsidR="003F705E" w:rsidRPr="009E0336">
              <w:rPr>
                <w:rFonts w:eastAsia="Symbol"/>
                <w:sz w:val="20"/>
                <w:szCs w:val="20"/>
                <w:lang w:val="pl-PL"/>
              </w:rPr>
              <w:t xml:space="preserve">Zakon o proračunu, </w:t>
            </w:r>
            <w:r w:rsidRPr="009E0336">
              <w:rPr>
                <w:rFonts w:eastAsia="Symbol"/>
                <w:sz w:val="20"/>
                <w:szCs w:val="20"/>
                <w:lang w:val="pl-PL"/>
              </w:rPr>
              <w:t>Pravilnik o proračunskom računovodstvu i računskom planu, Kolektivni ugovor za djelatnost zdravstva i zdravstvenog osiguranja, Ugovor s HZZO-om, Sporazumi o sufinanciranju s jedinicama lokalne samouprave,</w:t>
            </w:r>
            <w:r w:rsidR="0074131A" w:rsidRPr="009E0336">
              <w:rPr>
                <w:rFonts w:eastAsia="Symbol"/>
                <w:sz w:val="20"/>
                <w:szCs w:val="20"/>
                <w:lang w:val="pl-PL"/>
              </w:rPr>
              <w:t xml:space="preserve"> Odluka o isplati razlike iznosa uvećanja plaće za prekovremeni rad radnicima u djelatnosti zdravstva i zdravstvenog osiguranja (Vlada RH),</w:t>
            </w:r>
            <w:r w:rsidR="00D0156B" w:rsidRPr="009E0336">
              <w:rPr>
                <w:rFonts w:eastAsia="Symbol"/>
                <w:sz w:val="20"/>
                <w:szCs w:val="20"/>
                <w:lang w:val="pl-PL"/>
              </w:rPr>
              <w:t xml:space="preserve"> Odluka o namjenskoj pomoći zdravstvenim ustanovama čiji je osnivač Republika Hrvatska i jedinica lokalne i područne (regionalne) samouprave (NN 87/2023) od 27.07.2023.g</w:t>
            </w:r>
            <w:r w:rsidR="0019181E" w:rsidRPr="009E0336">
              <w:rPr>
                <w:rFonts w:eastAsia="Symbol"/>
                <w:sz w:val="20"/>
                <w:szCs w:val="20"/>
                <w:lang w:val="pl-PL"/>
              </w:rPr>
              <w:t xml:space="preserve">, </w:t>
            </w:r>
            <w:r w:rsidRPr="009E0336">
              <w:rPr>
                <w:sz w:val="20"/>
                <w:szCs w:val="20"/>
              </w:rPr>
              <w:t>Upute za izradu Proračuna Splitsko-dalmatinske županije za razdoblje 202</w:t>
            </w:r>
            <w:r w:rsidR="00562B75" w:rsidRPr="009E0336">
              <w:rPr>
                <w:sz w:val="20"/>
                <w:szCs w:val="20"/>
              </w:rPr>
              <w:t>5</w:t>
            </w:r>
            <w:r w:rsidRPr="009E0336">
              <w:rPr>
                <w:sz w:val="20"/>
                <w:szCs w:val="20"/>
              </w:rPr>
              <w:t>.g.-202</w:t>
            </w:r>
            <w:r w:rsidR="00562B75" w:rsidRPr="009E0336">
              <w:rPr>
                <w:sz w:val="20"/>
                <w:szCs w:val="20"/>
              </w:rPr>
              <w:t>7</w:t>
            </w:r>
            <w:r w:rsidRPr="009E0336">
              <w:rPr>
                <w:sz w:val="20"/>
                <w:szCs w:val="20"/>
              </w:rPr>
              <w:t>.g.</w:t>
            </w:r>
          </w:p>
          <w:p w14:paraId="55F1FC89" w14:textId="77777777" w:rsidR="00FA6BF1" w:rsidRPr="009E0336" w:rsidRDefault="00FA6BF1" w:rsidP="00C97AA2">
            <w:pPr>
              <w:pStyle w:val="Standard"/>
              <w:rPr>
                <w:rFonts w:eastAsia="Symbol"/>
                <w:i/>
                <w:color w:val="FF0000"/>
                <w:sz w:val="20"/>
                <w:szCs w:val="20"/>
                <w:lang w:val="pl-PL"/>
              </w:rPr>
            </w:pPr>
          </w:p>
        </w:tc>
      </w:tr>
      <w:tr w:rsidR="00FA6BF1" w:rsidRPr="009E0336" w14:paraId="1BB0C98E" w14:textId="77777777" w:rsidTr="00702A1E">
        <w:trPr>
          <w:trHeight w:val="257"/>
        </w:trPr>
        <w:tc>
          <w:tcPr>
            <w:tcW w:w="12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1C09F52" w14:textId="77777777" w:rsidR="00FA6BF1" w:rsidRPr="009E0336" w:rsidRDefault="00091387">
            <w:pPr>
              <w:pStyle w:val="Standard"/>
              <w:rPr>
                <w:sz w:val="20"/>
                <w:szCs w:val="20"/>
              </w:rPr>
            </w:pPr>
            <w:r w:rsidRPr="009E0336">
              <w:rPr>
                <w:b/>
                <w:bCs/>
                <w:color w:val="000000"/>
                <w:sz w:val="20"/>
                <w:szCs w:val="20"/>
              </w:rPr>
              <w:t>Opis aktivnosti / projekta</w:t>
            </w:r>
          </w:p>
        </w:tc>
        <w:tc>
          <w:tcPr>
            <w:tcW w:w="8528"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CF814F1" w14:textId="7B6FB35F" w:rsidR="003F705E" w:rsidRPr="009E0336" w:rsidRDefault="003F705E" w:rsidP="00C97AA2">
            <w:pPr>
              <w:spacing w:line="240" w:lineRule="auto"/>
              <w:jc w:val="both"/>
              <w:rPr>
                <w:rFonts w:ascii="Times New Roman" w:hAnsi="Times New Roman" w:cs="Times New Roman"/>
                <w:bCs/>
                <w:sz w:val="20"/>
                <w:szCs w:val="20"/>
              </w:rPr>
            </w:pPr>
            <w:r w:rsidRPr="009E0336">
              <w:rPr>
                <w:rFonts w:ascii="Times New Roman" w:hAnsi="Times New Roman" w:cs="Times New Roman"/>
                <w:bCs/>
                <w:sz w:val="20"/>
                <w:szCs w:val="20"/>
              </w:rPr>
              <w:t xml:space="preserve">Svrha ove aktivnosti je uredno poslovanje i odvijanje svih radnih procesa u </w:t>
            </w:r>
            <w:r w:rsidR="007F782D" w:rsidRPr="009E0336">
              <w:rPr>
                <w:rFonts w:ascii="Times New Roman" w:hAnsi="Times New Roman" w:cs="Times New Roman"/>
                <w:bCs/>
                <w:sz w:val="20"/>
                <w:szCs w:val="20"/>
              </w:rPr>
              <w:t>Zavodu</w:t>
            </w:r>
            <w:r w:rsidRPr="009E0336">
              <w:rPr>
                <w:rFonts w:ascii="Times New Roman" w:hAnsi="Times New Roman" w:cs="Times New Roman"/>
                <w:bCs/>
                <w:sz w:val="20"/>
                <w:szCs w:val="20"/>
              </w:rPr>
              <w:t xml:space="preserve"> u cilju osiguranja uvjeta za pružanje kvalitetne hitne medicine i sanitetskog prijevoza sukladno zakonskim propisima.</w:t>
            </w:r>
          </w:p>
          <w:p w14:paraId="6F55E280" w14:textId="2A187733" w:rsidR="00FA6BF1" w:rsidRPr="009E0336" w:rsidRDefault="00091387" w:rsidP="00C97AA2">
            <w:pPr>
              <w:spacing w:line="240" w:lineRule="auto"/>
              <w:jc w:val="both"/>
              <w:rPr>
                <w:rFonts w:ascii="Times New Roman" w:hAnsi="Times New Roman" w:cs="Times New Roman"/>
                <w:sz w:val="20"/>
                <w:szCs w:val="20"/>
              </w:rPr>
            </w:pPr>
            <w:r w:rsidRPr="009E0336">
              <w:rPr>
                <w:rFonts w:ascii="Times New Roman" w:hAnsi="Times New Roman" w:cs="Times New Roman"/>
                <w:sz w:val="20"/>
                <w:szCs w:val="20"/>
              </w:rPr>
              <w:t>Temelj za realizaciju ove aktivnosti je ugovor zaključen s Hrvatskim zavodom za zdravstveno osiguranje. Prihodima od HZZO-a predviđeno je financiranje 1</w:t>
            </w:r>
            <w:r w:rsidR="0066007E" w:rsidRPr="009E0336">
              <w:rPr>
                <w:rFonts w:ascii="Times New Roman" w:hAnsi="Times New Roman" w:cs="Times New Roman"/>
                <w:sz w:val="20"/>
                <w:szCs w:val="20"/>
              </w:rPr>
              <w:t>2</w:t>
            </w:r>
            <w:r w:rsidRPr="009E0336">
              <w:rPr>
                <w:rFonts w:ascii="Times New Roman" w:hAnsi="Times New Roman" w:cs="Times New Roman"/>
                <w:sz w:val="20"/>
                <w:szCs w:val="20"/>
              </w:rPr>
              <w:t>0 ugovorenih timova hitne medicine (</w:t>
            </w:r>
            <w:r w:rsidR="0066007E" w:rsidRPr="009E0336">
              <w:rPr>
                <w:rFonts w:ascii="Times New Roman" w:hAnsi="Times New Roman" w:cs="Times New Roman"/>
                <w:sz w:val="20"/>
                <w:szCs w:val="20"/>
              </w:rPr>
              <w:t>8</w:t>
            </w:r>
            <w:r w:rsidRPr="009E0336">
              <w:rPr>
                <w:rFonts w:ascii="Times New Roman" w:hAnsi="Times New Roman" w:cs="Times New Roman"/>
                <w:sz w:val="20"/>
                <w:szCs w:val="20"/>
              </w:rPr>
              <w:t xml:space="preserve">5 timova T-1 i </w:t>
            </w:r>
            <w:r w:rsidR="0066007E" w:rsidRPr="009E0336">
              <w:rPr>
                <w:rFonts w:ascii="Times New Roman" w:hAnsi="Times New Roman" w:cs="Times New Roman"/>
                <w:sz w:val="20"/>
                <w:szCs w:val="20"/>
              </w:rPr>
              <w:t>3</w:t>
            </w:r>
            <w:r w:rsidRPr="009E0336">
              <w:rPr>
                <w:rFonts w:ascii="Times New Roman" w:hAnsi="Times New Roman" w:cs="Times New Roman"/>
                <w:sz w:val="20"/>
                <w:szCs w:val="20"/>
              </w:rPr>
              <w:t xml:space="preserve">5 timova T-2), </w:t>
            </w:r>
            <w:r w:rsidR="0066007E" w:rsidRPr="009E0336">
              <w:rPr>
                <w:rFonts w:ascii="Times New Roman" w:hAnsi="Times New Roman" w:cs="Times New Roman"/>
                <w:sz w:val="20"/>
                <w:szCs w:val="20"/>
              </w:rPr>
              <w:t>5</w:t>
            </w:r>
            <w:r w:rsidRPr="009E0336">
              <w:rPr>
                <w:rFonts w:ascii="Times New Roman" w:hAnsi="Times New Roman" w:cs="Times New Roman"/>
                <w:sz w:val="20"/>
                <w:szCs w:val="20"/>
              </w:rPr>
              <w:t xml:space="preserve"> tima pripravnosti, 5 timova u PDJ, 5 timova hitnog zračnog medicinskog prijevoza i 3</w:t>
            </w:r>
            <w:r w:rsidR="0066007E" w:rsidRPr="009E0336">
              <w:rPr>
                <w:rFonts w:ascii="Times New Roman" w:hAnsi="Times New Roman" w:cs="Times New Roman"/>
                <w:sz w:val="20"/>
                <w:szCs w:val="20"/>
              </w:rPr>
              <w:t>9</w:t>
            </w:r>
            <w:r w:rsidRPr="009E0336">
              <w:rPr>
                <w:rFonts w:ascii="Times New Roman" w:hAnsi="Times New Roman" w:cs="Times New Roman"/>
                <w:sz w:val="20"/>
                <w:szCs w:val="20"/>
              </w:rPr>
              <w:t xml:space="preserve"> timova sanitetskog prijevoza. Također, prihod od HZZO-a se ostvaruje za pružene usluge neosiguranim osobama (strancima na temelju europske kartice) i naknade za prijeđene kilometre.</w:t>
            </w:r>
          </w:p>
          <w:p w14:paraId="4CDF4C60" w14:textId="3D92656D" w:rsidR="00FA6BF1" w:rsidRPr="009E0336" w:rsidRDefault="00091387" w:rsidP="00C97AA2">
            <w:pPr>
              <w:snapToGrid w:val="0"/>
              <w:spacing w:line="240" w:lineRule="auto"/>
              <w:jc w:val="both"/>
              <w:rPr>
                <w:rFonts w:ascii="Times New Roman" w:hAnsi="Times New Roman" w:cs="Times New Roman"/>
                <w:bCs/>
                <w:sz w:val="20"/>
                <w:szCs w:val="20"/>
              </w:rPr>
            </w:pPr>
            <w:r w:rsidRPr="009E0336">
              <w:rPr>
                <w:rFonts w:ascii="Times New Roman" w:hAnsi="Times New Roman" w:cs="Times New Roman"/>
                <w:bCs/>
                <w:sz w:val="20"/>
                <w:szCs w:val="20"/>
              </w:rPr>
              <w:t>Iz županijskih sredstava financiraju se plaće medicinskih sestara u ambulanti i na Ultra</w:t>
            </w:r>
            <w:r w:rsidR="0074574F" w:rsidRPr="009E0336">
              <w:rPr>
                <w:rFonts w:ascii="Times New Roman" w:hAnsi="Times New Roman" w:cs="Times New Roman"/>
                <w:bCs/>
                <w:sz w:val="20"/>
                <w:szCs w:val="20"/>
              </w:rPr>
              <w:t xml:space="preserve"> Europa </w:t>
            </w:r>
            <w:r w:rsidRPr="009E0336">
              <w:rPr>
                <w:rFonts w:ascii="Times New Roman" w:hAnsi="Times New Roman" w:cs="Times New Roman"/>
                <w:bCs/>
                <w:sz w:val="20"/>
                <w:szCs w:val="20"/>
              </w:rPr>
              <w:t xml:space="preserve">festivalu, </w:t>
            </w:r>
            <w:r w:rsidR="00690C52" w:rsidRPr="009E0336">
              <w:rPr>
                <w:rFonts w:ascii="Times New Roman" w:hAnsi="Times New Roman" w:cs="Times New Roman"/>
                <w:bCs/>
                <w:sz w:val="20"/>
                <w:szCs w:val="20"/>
              </w:rPr>
              <w:t xml:space="preserve">te se sufinancira </w:t>
            </w:r>
            <w:r w:rsidR="0066007E" w:rsidRPr="009E0336">
              <w:rPr>
                <w:rFonts w:ascii="Times New Roman" w:hAnsi="Times New Roman" w:cs="Times New Roman"/>
                <w:bCs/>
                <w:sz w:val="20"/>
                <w:szCs w:val="20"/>
              </w:rPr>
              <w:t xml:space="preserve">rad </w:t>
            </w:r>
            <w:r w:rsidRPr="009E0336">
              <w:rPr>
                <w:rFonts w:ascii="Times New Roman" w:hAnsi="Times New Roman" w:cs="Times New Roman"/>
                <w:bCs/>
                <w:sz w:val="20"/>
                <w:szCs w:val="20"/>
              </w:rPr>
              <w:t xml:space="preserve">na punktovima pripravnosti </w:t>
            </w:r>
            <w:r w:rsidR="00690C52" w:rsidRPr="009E0336">
              <w:rPr>
                <w:rFonts w:ascii="Times New Roman" w:hAnsi="Times New Roman" w:cs="Times New Roman"/>
                <w:bCs/>
                <w:sz w:val="20"/>
                <w:szCs w:val="20"/>
              </w:rPr>
              <w:t>i</w:t>
            </w:r>
            <w:r w:rsidRPr="009E0336">
              <w:rPr>
                <w:rFonts w:ascii="Times New Roman" w:hAnsi="Times New Roman" w:cs="Times New Roman"/>
                <w:bCs/>
                <w:sz w:val="20"/>
                <w:szCs w:val="20"/>
              </w:rPr>
              <w:t xml:space="preserve"> zakup prostora u Splitu.</w:t>
            </w:r>
          </w:p>
          <w:p w14:paraId="2D81CCBA" w14:textId="27F62163" w:rsidR="00FA6BF1" w:rsidRPr="009E0336" w:rsidRDefault="0019181E" w:rsidP="00C97AA2">
            <w:pPr>
              <w:spacing w:line="240" w:lineRule="auto"/>
              <w:jc w:val="both"/>
              <w:rPr>
                <w:rFonts w:ascii="Times New Roman" w:hAnsi="Times New Roman" w:cs="Times New Roman"/>
                <w:sz w:val="20"/>
                <w:szCs w:val="20"/>
              </w:rPr>
            </w:pPr>
            <w:r w:rsidRPr="009E0336">
              <w:rPr>
                <w:rFonts w:ascii="Times New Roman" w:hAnsi="Times New Roman" w:cs="Times New Roman"/>
                <w:bCs/>
                <w:sz w:val="20"/>
                <w:szCs w:val="20"/>
              </w:rPr>
              <w:t xml:space="preserve">U okviru ove aktivnosti, kao pomoć iz državnog proračuna, osiguravaju se sredstva za </w:t>
            </w:r>
            <w:r w:rsidR="00FC34A2" w:rsidRPr="009E0336">
              <w:rPr>
                <w:rFonts w:ascii="Times New Roman" w:hAnsi="Times New Roman" w:cs="Times New Roman"/>
                <w:sz w:val="20"/>
                <w:szCs w:val="20"/>
              </w:rPr>
              <w:t>isplat</w:t>
            </w:r>
            <w:r w:rsidRPr="009E0336">
              <w:rPr>
                <w:rFonts w:ascii="Times New Roman" w:hAnsi="Times New Roman" w:cs="Times New Roman"/>
                <w:sz w:val="20"/>
                <w:szCs w:val="20"/>
              </w:rPr>
              <w:t>u</w:t>
            </w:r>
            <w:r w:rsidR="00FC34A2" w:rsidRPr="009E0336">
              <w:rPr>
                <w:rFonts w:ascii="Times New Roman" w:hAnsi="Times New Roman" w:cs="Times New Roman"/>
                <w:sz w:val="20"/>
                <w:szCs w:val="20"/>
              </w:rPr>
              <w:t xml:space="preserve"> </w:t>
            </w:r>
            <w:r w:rsidR="00FC34A2" w:rsidRPr="009E0336">
              <w:rPr>
                <w:rFonts w:ascii="Times New Roman" w:hAnsi="Times New Roman" w:cs="Times New Roman"/>
                <w:bCs/>
                <w:sz w:val="20"/>
                <w:szCs w:val="20"/>
              </w:rPr>
              <w:t xml:space="preserve">razlike iznosa uvećanja plaće za prekovremeni rad (dodatci za posebne uvjete rada i za iznimnu odgovornost za život i zdravlje ljudi) </w:t>
            </w:r>
            <w:r w:rsidRPr="009E0336">
              <w:rPr>
                <w:rFonts w:ascii="Times New Roman" w:hAnsi="Times New Roman" w:cs="Times New Roman"/>
                <w:bCs/>
                <w:sz w:val="20"/>
                <w:szCs w:val="20"/>
              </w:rPr>
              <w:t xml:space="preserve">sukladno odluci Vlade RH </w:t>
            </w:r>
            <w:r w:rsidR="009E2552" w:rsidRPr="009E0336">
              <w:rPr>
                <w:rFonts w:ascii="Times New Roman" w:hAnsi="Times New Roman" w:cs="Times New Roman"/>
                <w:bCs/>
                <w:sz w:val="20"/>
                <w:szCs w:val="20"/>
              </w:rPr>
              <w:t>(</w:t>
            </w:r>
            <w:r w:rsidR="00FC34A2" w:rsidRPr="009E0336">
              <w:rPr>
                <w:rFonts w:ascii="Times New Roman" w:hAnsi="Times New Roman" w:cs="Times New Roman"/>
                <w:bCs/>
                <w:sz w:val="20"/>
                <w:szCs w:val="20"/>
              </w:rPr>
              <w:t>NN 101/2021</w:t>
            </w:r>
            <w:r w:rsidR="009E2552" w:rsidRPr="009E0336">
              <w:rPr>
                <w:rFonts w:ascii="Times New Roman" w:hAnsi="Times New Roman" w:cs="Times New Roman"/>
                <w:bCs/>
                <w:sz w:val="20"/>
                <w:szCs w:val="20"/>
              </w:rPr>
              <w:t>)</w:t>
            </w:r>
            <w:r w:rsidRPr="009E0336">
              <w:rPr>
                <w:rFonts w:ascii="Times New Roman" w:hAnsi="Times New Roman" w:cs="Times New Roman"/>
                <w:bCs/>
                <w:sz w:val="20"/>
                <w:szCs w:val="20"/>
              </w:rPr>
              <w:t>.</w:t>
            </w:r>
            <w:r w:rsidR="00FC34A2" w:rsidRPr="009E0336">
              <w:rPr>
                <w:rFonts w:ascii="Times New Roman" w:hAnsi="Times New Roman" w:cs="Times New Roman"/>
                <w:bCs/>
                <w:sz w:val="20"/>
                <w:szCs w:val="20"/>
              </w:rPr>
              <w:t xml:space="preserve"> </w:t>
            </w:r>
          </w:p>
          <w:p w14:paraId="6797CAD8" w14:textId="325F00CB" w:rsidR="00FA6BF1" w:rsidRPr="009E0336" w:rsidRDefault="00091387" w:rsidP="00C97AA2">
            <w:pPr>
              <w:spacing w:line="240" w:lineRule="auto"/>
              <w:jc w:val="both"/>
              <w:rPr>
                <w:rFonts w:ascii="Times New Roman" w:hAnsi="Times New Roman" w:cs="Times New Roman"/>
                <w:bCs/>
                <w:sz w:val="20"/>
                <w:szCs w:val="20"/>
              </w:rPr>
            </w:pPr>
            <w:bookmarkStart w:id="0" w:name="__DdeLink__13_682213176"/>
            <w:r w:rsidRPr="009E0336">
              <w:rPr>
                <w:rFonts w:ascii="Times New Roman" w:hAnsi="Times New Roman" w:cs="Times New Roman"/>
                <w:bCs/>
                <w:sz w:val="20"/>
                <w:szCs w:val="20"/>
              </w:rPr>
              <w:t>Ova aktivnost obuhvaća 8</w:t>
            </w:r>
            <w:r w:rsidR="009D178B" w:rsidRPr="009E0336">
              <w:rPr>
                <w:rFonts w:ascii="Times New Roman" w:hAnsi="Times New Roman" w:cs="Times New Roman"/>
                <w:bCs/>
                <w:sz w:val="20"/>
                <w:szCs w:val="20"/>
              </w:rPr>
              <w:t>6</w:t>
            </w:r>
            <w:r w:rsidR="00417843" w:rsidRPr="009E0336">
              <w:rPr>
                <w:rFonts w:ascii="Times New Roman" w:hAnsi="Times New Roman" w:cs="Times New Roman"/>
                <w:bCs/>
                <w:sz w:val="20"/>
                <w:szCs w:val="20"/>
              </w:rPr>
              <w:t xml:space="preserve"> </w:t>
            </w:r>
            <w:r w:rsidRPr="009E0336">
              <w:rPr>
                <w:rFonts w:ascii="Times New Roman" w:hAnsi="Times New Roman" w:cs="Times New Roman"/>
                <w:bCs/>
                <w:sz w:val="20"/>
                <w:szCs w:val="20"/>
              </w:rPr>
              <w:t>% ukupnog plana 202</w:t>
            </w:r>
            <w:r w:rsidR="009D178B" w:rsidRPr="009E0336">
              <w:rPr>
                <w:rFonts w:ascii="Times New Roman" w:hAnsi="Times New Roman" w:cs="Times New Roman"/>
                <w:bCs/>
                <w:sz w:val="20"/>
                <w:szCs w:val="20"/>
              </w:rPr>
              <w:t>5</w:t>
            </w:r>
            <w:r w:rsidRPr="009E0336">
              <w:rPr>
                <w:rFonts w:ascii="Times New Roman" w:hAnsi="Times New Roman" w:cs="Times New Roman"/>
                <w:bCs/>
                <w:sz w:val="20"/>
                <w:szCs w:val="20"/>
              </w:rPr>
              <w:t>.g. i sastoji se od rashoda za zaposlene, materijalnih i financijskih rashoda poslovanja koji se financiraju iz</w:t>
            </w:r>
            <w:bookmarkEnd w:id="0"/>
            <w:r w:rsidRPr="009E0336">
              <w:rPr>
                <w:rFonts w:ascii="Times New Roman" w:hAnsi="Times New Roman" w:cs="Times New Roman"/>
                <w:bCs/>
                <w:sz w:val="20"/>
                <w:szCs w:val="20"/>
              </w:rPr>
              <w:t xml:space="preserve"> slijedećih izvora:</w:t>
            </w:r>
          </w:p>
          <w:p w14:paraId="454DA10D" w14:textId="2849EC24" w:rsidR="00FA6BF1" w:rsidRPr="009E0336" w:rsidRDefault="00091387" w:rsidP="00C97AA2">
            <w:pPr>
              <w:numPr>
                <w:ilvl w:val="0"/>
                <w:numId w:val="11"/>
              </w:numPr>
              <w:suppressAutoHyphens w:val="0"/>
              <w:spacing w:line="240" w:lineRule="auto"/>
              <w:jc w:val="both"/>
              <w:rPr>
                <w:rFonts w:ascii="Times New Roman" w:hAnsi="Times New Roman" w:cs="Times New Roman"/>
                <w:sz w:val="20"/>
                <w:szCs w:val="20"/>
              </w:rPr>
            </w:pPr>
            <w:r w:rsidRPr="009E0336">
              <w:rPr>
                <w:rFonts w:ascii="Times New Roman" w:hAnsi="Times New Roman" w:cs="Times New Roman"/>
                <w:bCs/>
                <w:sz w:val="20"/>
                <w:szCs w:val="20"/>
              </w:rPr>
              <w:t xml:space="preserve">matičnih sredstva Županije u iznosu od </w:t>
            </w:r>
            <w:r w:rsidR="009D178B" w:rsidRPr="009E0336">
              <w:rPr>
                <w:rFonts w:ascii="Times New Roman" w:hAnsi="Times New Roman" w:cs="Times New Roman"/>
                <w:bCs/>
                <w:sz w:val="20"/>
                <w:szCs w:val="20"/>
              </w:rPr>
              <w:t>630</w:t>
            </w:r>
            <w:r w:rsidR="00DA425C" w:rsidRPr="009E0336">
              <w:rPr>
                <w:rFonts w:ascii="Times New Roman" w:hAnsi="Times New Roman" w:cs="Times New Roman"/>
                <w:bCs/>
                <w:sz w:val="20"/>
                <w:szCs w:val="20"/>
              </w:rPr>
              <w:t xml:space="preserve">.000,00 </w:t>
            </w:r>
            <w:r w:rsidRPr="009E0336">
              <w:rPr>
                <w:rFonts w:ascii="Times New Roman" w:hAnsi="Times New Roman" w:cs="Times New Roman"/>
                <w:bCs/>
                <w:color w:val="000000"/>
                <w:sz w:val="20"/>
                <w:szCs w:val="20"/>
              </w:rPr>
              <w:t>€</w:t>
            </w:r>
            <w:r w:rsidRPr="009E0336">
              <w:rPr>
                <w:rFonts w:ascii="Times New Roman" w:hAnsi="Times New Roman" w:cs="Times New Roman"/>
                <w:bCs/>
                <w:sz w:val="20"/>
                <w:szCs w:val="20"/>
              </w:rPr>
              <w:t xml:space="preserve">  u 202</w:t>
            </w:r>
            <w:r w:rsidR="009D178B" w:rsidRPr="009E0336">
              <w:rPr>
                <w:rFonts w:ascii="Times New Roman" w:hAnsi="Times New Roman" w:cs="Times New Roman"/>
                <w:bCs/>
                <w:sz w:val="20"/>
                <w:szCs w:val="20"/>
              </w:rPr>
              <w:t>5</w:t>
            </w:r>
            <w:r w:rsidRPr="009E0336">
              <w:rPr>
                <w:rFonts w:ascii="Times New Roman" w:hAnsi="Times New Roman" w:cs="Times New Roman"/>
                <w:bCs/>
                <w:sz w:val="20"/>
                <w:szCs w:val="20"/>
              </w:rPr>
              <w:t xml:space="preserve">.g., </w:t>
            </w:r>
            <w:r w:rsidR="009D178B" w:rsidRPr="009E0336">
              <w:rPr>
                <w:rFonts w:ascii="Times New Roman" w:hAnsi="Times New Roman" w:cs="Times New Roman"/>
                <w:bCs/>
                <w:sz w:val="20"/>
                <w:szCs w:val="20"/>
              </w:rPr>
              <w:t>662</w:t>
            </w:r>
            <w:r w:rsidR="00DA425C" w:rsidRPr="009E0336">
              <w:rPr>
                <w:rFonts w:ascii="Times New Roman" w:hAnsi="Times New Roman" w:cs="Times New Roman"/>
                <w:bCs/>
                <w:sz w:val="20"/>
                <w:szCs w:val="20"/>
              </w:rPr>
              <w:t xml:space="preserve">.000,00 € u </w:t>
            </w:r>
            <w:r w:rsidRPr="009E0336">
              <w:rPr>
                <w:rFonts w:ascii="Times New Roman" w:hAnsi="Times New Roman" w:cs="Times New Roman"/>
                <w:bCs/>
                <w:sz w:val="20"/>
                <w:szCs w:val="20"/>
              </w:rPr>
              <w:t>202</w:t>
            </w:r>
            <w:r w:rsidR="009D178B" w:rsidRPr="009E0336">
              <w:rPr>
                <w:rFonts w:ascii="Times New Roman" w:hAnsi="Times New Roman" w:cs="Times New Roman"/>
                <w:bCs/>
                <w:sz w:val="20"/>
                <w:szCs w:val="20"/>
              </w:rPr>
              <w:t>6</w:t>
            </w:r>
            <w:r w:rsidRPr="009E0336">
              <w:rPr>
                <w:rFonts w:ascii="Times New Roman" w:hAnsi="Times New Roman" w:cs="Times New Roman"/>
                <w:bCs/>
                <w:sz w:val="20"/>
                <w:szCs w:val="20"/>
              </w:rPr>
              <w:t xml:space="preserve">.g. i </w:t>
            </w:r>
            <w:r w:rsidR="009D178B" w:rsidRPr="009E0336">
              <w:rPr>
                <w:rFonts w:ascii="Times New Roman" w:hAnsi="Times New Roman" w:cs="Times New Roman"/>
                <w:bCs/>
                <w:sz w:val="20"/>
                <w:szCs w:val="20"/>
              </w:rPr>
              <w:t>695.000,00</w:t>
            </w:r>
            <w:r w:rsidR="00DA425C" w:rsidRPr="009E0336">
              <w:rPr>
                <w:rFonts w:ascii="Times New Roman" w:hAnsi="Times New Roman" w:cs="Times New Roman"/>
                <w:bCs/>
                <w:sz w:val="20"/>
                <w:szCs w:val="20"/>
              </w:rPr>
              <w:t xml:space="preserve"> € u </w:t>
            </w:r>
            <w:r w:rsidRPr="009E0336">
              <w:rPr>
                <w:rFonts w:ascii="Times New Roman" w:hAnsi="Times New Roman" w:cs="Times New Roman"/>
                <w:bCs/>
                <w:sz w:val="20"/>
                <w:szCs w:val="20"/>
              </w:rPr>
              <w:t>202</w:t>
            </w:r>
            <w:r w:rsidR="009D178B" w:rsidRPr="009E0336">
              <w:rPr>
                <w:rFonts w:ascii="Times New Roman" w:hAnsi="Times New Roman" w:cs="Times New Roman"/>
                <w:bCs/>
                <w:sz w:val="20"/>
                <w:szCs w:val="20"/>
              </w:rPr>
              <w:t>7</w:t>
            </w:r>
            <w:r w:rsidRPr="009E0336">
              <w:rPr>
                <w:rFonts w:ascii="Times New Roman" w:hAnsi="Times New Roman" w:cs="Times New Roman"/>
                <w:bCs/>
                <w:sz w:val="20"/>
                <w:szCs w:val="20"/>
              </w:rPr>
              <w:t>.g.</w:t>
            </w:r>
            <w:r w:rsidRPr="009E0336">
              <w:rPr>
                <w:rFonts w:ascii="Times New Roman" w:hAnsi="Times New Roman" w:cs="Times New Roman"/>
                <w:sz w:val="20"/>
                <w:szCs w:val="20"/>
              </w:rPr>
              <w:t>,</w:t>
            </w:r>
          </w:p>
          <w:p w14:paraId="4E284EBB" w14:textId="645B561A" w:rsidR="00FA6BF1" w:rsidRPr="009E0336" w:rsidRDefault="00091387" w:rsidP="00C97AA2">
            <w:pPr>
              <w:numPr>
                <w:ilvl w:val="0"/>
                <w:numId w:val="11"/>
              </w:numPr>
              <w:suppressAutoHyphens w:val="0"/>
              <w:spacing w:line="240" w:lineRule="auto"/>
              <w:jc w:val="both"/>
              <w:rPr>
                <w:rFonts w:ascii="Times New Roman" w:hAnsi="Times New Roman" w:cs="Times New Roman"/>
                <w:sz w:val="20"/>
                <w:szCs w:val="20"/>
              </w:rPr>
            </w:pPr>
            <w:r w:rsidRPr="009E0336">
              <w:rPr>
                <w:rFonts w:ascii="Times New Roman" w:hAnsi="Times New Roman" w:cs="Times New Roman"/>
                <w:bCs/>
                <w:sz w:val="20"/>
                <w:szCs w:val="20"/>
              </w:rPr>
              <w:t xml:space="preserve">vlastitih prihoda </w:t>
            </w:r>
            <w:r w:rsidR="007F782D" w:rsidRPr="009E0336">
              <w:rPr>
                <w:rFonts w:ascii="Times New Roman" w:hAnsi="Times New Roman" w:cs="Times New Roman"/>
                <w:bCs/>
                <w:sz w:val="20"/>
                <w:szCs w:val="20"/>
              </w:rPr>
              <w:t>Zavoda</w:t>
            </w:r>
            <w:r w:rsidRPr="009E0336">
              <w:rPr>
                <w:rFonts w:ascii="Times New Roman" w:hAnsi="Times New Roman" w:cs="Times New Roman"/>
                <w:bCs/>
                <w:sz w:val="20"/>
                <w:szCs w:val="20"/>
              </w:rPr>
              <w:t xml:space="preserve"> u iznosu od </w:t>
            </w:r>
            <w:r w:rsidR="009D178B" w:rsidRPr="009E0336">
              <w:rPr>
                <w:rFonts w:ascii="Times New Roman" w:hAnsi="Times New Roman" w:cs="Times New Roman"/>
                <w:bCs/>
                <w:sz w:val="20"/>
                <w:szCs w:val="20"/>
              </w:rPr>
              <w:t>198.000,00</w:t>
            </w:r>
            <w:r w:rsidR="00DA425C" w:rsidRPr="009E0336">
              <w:rPr>
                <w:rFonts w:ascii="Times New Roman" w:hAnsi="Times New Roman" w:cs="Times New Roman"/>
                <w:bCs/>
                <w:sz w:val="20"/>
                <w:szCs w:val="20"/>
              </w:rPr>
              <w:t xml:space="preserve"> </w:t>
            </w:r>
            <w:r w:rsidRPr="009E0336">
              <w:rPr>
                <w:rFonts w:ascii="Times New Roman" w:hAnsi="Times New Roman" w:cs="Times New Roman"/>
                <w:bCs/>
                <w:color w:val="000000"/>
                <w:sz w:val="20"/>
                <w:szCs w:val="20"/>
              </w:rPr>
              <w:t>€ u 202</w:t>
            </w:r>
            <w:r w:rsidR="009D178B" w:rsidRPr="009E0336">
              <w:rPr>
                <w:rFonts w:ascii="Times New Roman" w:hAnsi="Times New Roman" w:cs="Times New Roman"/>
                <w:bCs/>
                <w:color w:val="000000"/>
                <w:sz w:val="20"/>
                <w:szCs w:val="20"/>
              </w:rPr>
              <w:t>5</w:t>
            </w:r>
            <w:r w:rsidRPr="009E0336">
              <w:rPr>
                <w:rFonts w:ascii="Times New Roman" w:hAnsi="Times New Roman" w:cs="Times New Roman"/>
                <w:bCs/>
                <w:color w:val="000000"/>
                <w:sz w:val="20"/>
                <w:szCs w:val="20"/>
              </w:rPr>
              <w:t>.g.</w:t>
            </w:r>
            <w:r w:rsidRPr="009E0336">
              <w:rPr>
                <w:rFonts w:ascii="Times New Roman" w:hAnsi="Times New Roman" w:cs="Times New Roman"/>
                <w:bCs/>
                <w:sz w:val="20"/>
                <w:szCs w:val="20"/>
              </w:rPr>
              <w:t xml:space="preserve">, </w:t>
            </w:r>
            <w:r w:rsidR="009D178B" w:rsidRPr="009E0336">
              <w:rPr>
                <w:rFonts w:ascii="Times New Roman" w:hAnsi="Times New Roman" w:cs="Times New Roman"/>
                <w:bCs/>
                <w:sz w:val="20"/>
                <w:szCs w:val="20"/>
              </w:rPr>
              <w:t>204</w:t>
            </w:r>
            <w:r w:rsidR="00DA425C" w:rsidRPr="009E0336">
              <w:rPr>
                <w:rFonts w:ascii="Times New Roman" w:hAnsi="Times New Roman" w:cs="Times New Roman"/>
                <w:bCs/>
                <w:sz w:val="20"/>
                <w:szCs w:val="20"/>
              </w:rPr>
              <w:t>.000,00</w:t>
            </w:r>
            <w:r w:rsidRPr="009E0336">
              <w:rPr>
                <w:rFonts w:ascii="Times New Roman" w:hAnsi="Times New Roman" w:cs="Times New Roman"/>
                <w:bCs/>
                <w:sz w:val="20"/>
                <w:szCs w:val="20"/>
              </w:rPr>
              <w:t xml:space="preserve"> </w:t>
            </w:r>
            <w:r w:rsidRPr="009E0336">
              <w:rPr>
                <w:rFonts w:ascii="Times New Roman" w:hAnsi="Times New Roman" w:cs="Times New Roman"/>
                <w:bCs/>
                <w:color w:val="000000"/>
                <w:kern w:val="0"/>
                <w:sz w:val="20"/>
                <w:szCs w:val="20"/>
              </w:rPr>
              <w:t>€ u 202</w:t>
            </w:r>
            <w:r w:rsidR="009D178B" w:rsidRPr="009E0336">
              <w:rPr>
                <w:rFonts w:ascii="Times New Roman" w:hAnsi="Times New Roman" w:cs="Times New Roman"/>
                <w:bCs/>
                <w:color w:val="000000"/>
                <w:kern w:val="0"/>
                <w:sz w:val="20"/>
                <w:szCs w:val="20"/>
              </w:rPr>
              <w:t>6</w:t>
            </w:r>
            <w:r w:rsidRPr="009E0336">
              <w:rPr>
                <w:rFonts w:ascii="Times New Roman" w:hAnsi="Times New Roman" w:cs="Times New Roman"/>
                <w:bCs/>
                <w:color w:val="000000"/>
                <w:kern w:val="0"/>
                <w:sz w:val="20"/>
                <w:szCs w:val="20"/>
              </w:rPr>
              <w:t xml:space="preserve">.g. i </w:t>
            </w:r>
            <w:r w:rsidR="009D178B" w:rsidRPr="009E0336">
              <w:rPr>
                <w:rFonts w:ascii="Times New Roman" w:hAnsi="Times New Roman" w:cs="Times New Roman"/>
                <w:bCs/>
                <w:color w:val="000000"/>
                <w:kern w:val="0"/>
                <w:sz w:val="20"/>
                <w:szCs w:val="20"/>
              </w:rPr>
              <w:t>211.0</w:t>
            </w:r>
            <w:r w:rsidR="00DA425C" w:rsidRPr="009E0336">
              <w:rPr>
                <w:rFonts w:ascii="Times New Roman" w:hAnsi="Times New Roman" w:cs="Times New Roman"/>
                <w:bCs/>
                <w:color w:val="000000"/>
                <w:kern w:val="0"/>
                <w:sz w:val="20"/>
                <w:szCs w:val="20"/>
              </w:rPr>
              <w:t>00,00</w:t>
            </w:r>
            <w:r w:rsidRPr="009E0336">
              <w:rPr>
                <w:rFonts w:ascii="Times New Roman" w:hAnsi="Times New Roman" w:cs="Times New Roman"/>
                <w:bCs/>
                <w:color w:val="000000"/>
                <w:kern w:val="0"/>
                <w:sz w:val="20"/>
                <w:szCs w:val="20"/>
              </w:rPr>
              <w:t xml:space="preserve"> </w:t>
            </w:r>
            <w:r w:rsidRPr="009E0336">
              <w:rPr>
                <w:rFonts w:ascii="Times New Roman" w:hAnsi="Times New Roman" w:cs="Times New Roman"/>
                <w:bCs/>
                <w:color w:val="000000"/>
                <w:kern w:val="0"/>
                <w:sz w:val="20"/>
                <w:szCs w:val="20"/>
              </w:rPr>
              <w:lastRenderedPageBreak/>
              <w:t>€ u 202</w:t>
            </w:r>
            <w:r w:rsidR="009D178B" w:rsidRPr="009E0336">
              <w:rPr>
                <w:rFonts w:ascii="Times New Roman" w:hAnsi="Times New Roman" w:cs="Times New Roman"/>
                <w:bCs/>
                <w:color w:val="000000"/>
                <w:kern w:val="0"/>
                <w:sz w:val="20"/>
                <w:szCs w:val="20"/>
              </w:rPr>
              <w:t>7</w:t>
            </w:r>
            <w:r w:rsidRPr="009E0336">
              <w:rPr>
                <w:rFonts w:ascii="Times New Roman" w:hAnsi="Times New Roman" w:cs="Times New Roman"/>
                <w:bCs/>
                <w:color w:val="000000"/>
                <w:kern w:val="0"/>
                <w:sz w:val="20"/>
                <w:szCs w:val="20"/>
              </w:rPr>
              <w:t>.g.</w:t>
            </w:r>
            <w:r w:rsidRPr="009E0336">
              <w:rPr>
                <w:rFonts w:ascii="Times New Roman" w:hAnsi="Times New Roman" w:cs="Times New Roman"/>
                <w:bCs/>
                <w:sz w:val="20"/>
                <w:szCs w:val="20"/>
              </w:rPr>
              <w:t>,</w:t>
            </w:r>
          </w:p>
          <w:p w14:paraId="54480253" w14:textId="5E18A7B0" w:rsidR="009D178B" w:rsidRPr="009E0336" w:rsidRDefault="00091387" w:rsidP="009D178B">
            <w:pPr>
              <w:numPr>
                <w:ilvl w:val="0"/>
                <w:numId w:val="11"/>
              </w:numPr>
              <w:suppressAutoHyphens w:val="0"/>
              <w:spacing w:line="240" w:lineRule="auto"/>
              <w:jc w:val="both"/>
              <w:rPr>
                <w:rFonts w:ascii="Times New Roman" w:hAnsi="Times New Roman" w:cs="Times New Roman"/>
                <w:sz w:val="20"/>
                <w:szCs w:val="20"/>
              </w:rPr>
            </w:pPr>
            <w:r w:rsidRPr="009E0336">
              <w:rPr>
                <w:rFonts w:ascii="Times New Roman" w:hAnsi="Times New Roman" w:cs="Times New Roman"/>
                <w:bCs/>
                <w:sz w:val="20"/>
                <w:szCs w:val="20"/>
              </w:rPr>
              <w:t xml:space="preserve">prihoda za posebne namjene proračunskog korisnika (HZZO) u iznosu od </w:t>
            </w:r>
            <w:r w:rsidR="009D178B" w:rsidRPr="009E0336">
              <w:rPr>
                <w:rFonts w:ascii="Times New Roman" w:hAnsi="Times New Roman" w:cs="Times New Roman"/>
                <w:bCs/>
                <w:sz w:val="20"/>
                <w:szCs w:val="20"/>
              </w:rPr>
              <w:t>27.518.000,00</w:t>
            </w:r>
            <w:r w:rsidRPr="009E0336">
              <w:rPr>
                <w:rFonts w:ascii="Times New Roman" w:hAnsi="Times New Roman" w:cs="Times New Roman"/>
                <w:bCs/>
                <w:sz w:val="20"/>
                <w:szCs w:val="20"/>
              </w:rPr>
              <w:t xml:space="preserve"> </w:t>
            </w:r>
            <w:r w:rsidRPr="009E0336">
              <w:rPr>
                <w:rFonts w:ascii="Times New Roman" w:hAnsi="Times New Roman" w:cs="Times New Roman"/>
                <w:bCs/>
                <w:color w:val="000000"/>
                <w:kern w:val="0"/>
                <w:sz w:val="20"/>
                <w:szCs w:val="20"/>
              </w:rPr>
              <w:t xml:space="preserve">€ </w:t>
            </w:r>
            <w:r w:rsidRPr="009E0336">
              <w:rPr>
                <w:rFonts w:ascii="Times New Roman" w:hAnsi="Times New Roman" w:cs="Times New Roman"/>
                <w:bCs/>
                <w:sz w:val="20"/>
                <w:szCs w:val="20"/>
              </w:rPr>
              <w:t>u</w:t>
            </w:r>
            <w:r w:rsidR="009D178B" w:rsidRPr="009E0336">
              <w:rPr>
                <w:rFonts w:ascii="Times New Roman" w:hAnsi="Times New Roman" w:cs="Times New Roman"/>
                <w:bCs/>
                <w:color w:val="000000"/>
                <w:sz w:val="20"/>
                <w:szCs w:val="20"/>
              </w:rPr>
              <w:t xml:space="preserve"> 2025.g.</w:t>
            </w:r>
            <w:r w:rsidR="009D178B" w:rsidRPr="009E0336">
              <w:rPr>
                <w:rFonts w:ascii="Times New Roman" w:hAnsi="Times New Roman" w:cs="Times New Roman"/>
                <w:bCs/>
                <w:sz w:val="20"/>
                <w:szCs w:val="20"/>
              </w:rPr>
              <w:t xml:space="preserve">, 28.099.000,00 </w:t>
            </w:r>
            <w:r w:rsidR="009D178B" w:rsidRPr="009E0336">
              <w:rPr>
                <w:rFonts w:ascii="Times New Roman" w:hAnsi="Times New Roman" w:cs="Times New Roman"/>
                <w:bCs/>
                <w:color w:val="000000"/>
                <w:kern w:val="0"/>
                <w:sz w:val="20"/>
                <w:szCs w:val="20"/>
              </w:rPr>
              <w:t>€ u 2026.g. i 28.693.000,00 € u 2027.g.</w:t>
            </w:r>
            <w:r w:rsidR="009D178B" w:rsidRPr="009E0336">
              <w:rPr>
                <w:rFonts w:ascii="Times New Roman" w:hAnsi="Times New Roman" w:cs="Times New Roman"/>
                <w:bCs/>
                <w:sz w:val="20"/>
                <w:szCs w:val="20"/>
              </w:rPr>
              <w:t>,</w:t>
            </w:r>
          </w:p>
          <w:p w14:paraId="5D302964" w14:textId="60264362" w:rsidR="00FA6BF1" w:rsidRPr="009E0336" w:rsidRDefault="00091387" w:rsidP="009D178B">
            <w:pPr>
              <w:pStyle w:val="Odlomakpopisa"/>
              <w:numPr>
                <w:ilvl w:val="0"/>
                <w:numId w:val="11"/>
              </w:numPr>
              <w:snapToGrid w:val="0"/>
              <w:spacing w:line="240" w:lineRule="auto"/>
              <w:jc w:val="both"/>
              <w:rPr>
                <w:rFonts w:ascii="Times New Roman" w:hAnsi="Times New Roman" w:cs="Times New Roman"/>
                <w:sz w:val="20"/>
                <w:szCs w:val="20"/>
              </w:rPr>
            </w:pPr>
            <w:r w:rsidRPr="009E0336">
              <w:rPr>
                <w:rFonts w:ascii="Times New Roman" w:hAnsi="Times New Roman" w:cs="Times New Roman"/>
                <w:bCs/>
                <w:sz w:val="20"/>
                <w:szCs w:val="20"/>
              </w:rPr>
              <w:t xml:space="preserve">pomoći proračunskim korisnicima iz proračuna koji im nije nadležan </w:t>
            </w:r>
            <w:r w:rsidR="009D178B" w:rsidRPr="009E0336">
              <w:rPr>
                <w:rFonts w:ascii="Times New Roman" w:hAnsi="Times New Roman" w:cs="Times New Roman"/>
                <w:bCs/>
                <w:sz w:val="20"/>
                <w:szCs w:val="20"/>
              </w:rPr>
              <w:t xml:space="preserve">(refundacija isplaćenih presuda za dodatke na prekovremeni rad) </w:t>
            </w:r>
            <w:r w:rsidRPr="009E0336">
              <w:rPr>
                <w:rFonts w:ascii="Times New Roman" w:hAnsi="Times New Roman" w:cs="Times New Roman"/>
                <w:bCs/>
                <w:sz w:val="20"/>
                <w:szCs w:val="20"/>
              </w:rPr>
              <w:t xml:space="preserve">u iznosu od </w:t>
            </w:r>
            <w:r w:rsidR="009D178B" w:rsidRPr="009E0336">
              <w:rPr>
                <w:rFonts w:ascii="Times New Roman" w:hAnsi="Times New Roman" w:cs="Times New Roman"/>
                <w:bCs/>
                <w:sz w:val="20"/>
                <w:szCs w:val="20"/>
              </w:rPr>
              <w:t>92.000</w:t>
            </w:r>
            <w:r w:rsidR="00DA425C" w:rsidRPr="009E0336">
              <w:rPr>
                <w:rFonts w:ascii="Times New Roman" w:hAnsi="Times New Roman" w:cs="Times New Roman"/>
                <w:bCs/>
                <w:sz w:val="20"/>
                <w:szCs w:val="20"/>
              </w:rPr>
              <w:t>,00</w:t>
            </w:r>
            <w:r w:rsidRPr="009E0336">
              <w:rPr>
                <w:rFonts w:ascii="Times New Roman" w:hAnsi="Times New Roman" w:cs="Times New Roman"/>
                <w:bCs/>
                <w:sz w:val="20"/>
                <w:szCs w:val="20"/>
              </w:rPr>
              <w:t xml:space="preserve"> </w:t>
            </w:r>
            <w:r w:rsidRPr="009E0336">
              <w:rPr>
                <w:rFonts w:ascii="Times New Roman" w:hAnsi="Times New Roman" w:cs="Times New Roman"/>
                <w:bCs/>
                <w:color w:val="000000"/>
                <w:kern w:val="0"/>
                <w:sz w:val="20"/>
                <w:szCs w:val="20"/>
              </w:rPr>
              <w:t>€ u 202</w:t>
            </w:r>
            <w:r w:rsidR="009D178B" w:rsidRPr="009E0336">
              <w:rPr>
                <w:rFonts w:ascii="Times New Roman" w:hAnsi="Times New Roman" w:cs="Times New Roman"/>
                <w:bCs/>
                <w:color w:val="000000"/>
                <w:kern w:val="0"/>
                <w:sz w:val="20"/>
                <w:szCs w:val="20"/>
              </w:rPr>
              <w:t>5</w:t>
            </w:r>
            <w:r w:rsidRPr="009E0336">
              <w:rPr>
                <w:rFonts w:ascii="Times New Roman" w:hAnsi="Times New Roman" w:cs="Times New Roman"/>
                <w:bCs/>
                <w:color w:val="000000"/>
                <w:kern w:val="0"/>
                <w:sz w:val="20"/>
                <w:szCs w:val="20"/>
              </w:rPr>
              <w:t>.g.</w:t>
            </w:r>
            <w:r w:rsidR="009D178B" w:rsidRPr="009E0336">
              <w:rPr>
                <w:rFonts w:ascii="Times New Roman" w:hAnsi="Times New Roman" w:cs="Times New Roman"/>
                <w:bCs/>
                <w:sz w:val="20"/>
                <w:szCs w:val="20"/>
              </w:rPr>
              <w:t xml:space="preserve"> U 2026.g. i 2027.g. neće biti ove vrste prihoda jer se planira da će sve presude biti isplaćene </w:t>
            </w:r>
            <w:r w:rsidR="0019181E" w:rsidRPr="009E0336">
              <w:rPr>
                <w:rFonts w:ascii="Times New Roman" w:hAnsi="Times New Roman" w:cs="Times New Roman"/>
                <w:bCs/>
                <w:sz w:val="20"/>
                <w:szCs w:val="20"/>
              </w:rPr>
              <w:t xml:space="preserve">tijekom </w:t>
            </w:r>
            <w:r w:rsidR="009D178B" w:rsidRPr="009E0336">
              <w:rPr>
                <w:rFonts w:ascii="Times New Roman" w:hAnsi="Times New Roman" w:cs="Times New Roman"/>
                <w:bCs/>
                <w:sz w:val="20"/>
                <w:szCs w:val="20"/>
              </w:rPr>
              <w:t>2025.g.</w:t>
            </w:r>
          </w:p>
        </w:tc>
      </w:tr>
      <w:tr w:rsidR="00FA6BF1" w:rsidRPr="009E0336" w14:paraId="3858FDDA" w14:textId="77777777" w:rsidTr="00702A1E">
        <w:trPr>
          <w:trHeight w:val="257"/>
        </w:trPr>
        <w:tc>
          <w:tcPr>
            <w:tcW w:w="12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8311976" w14:textId="4FF38598" w:rsidR="00FA6BF1" w:rsidRPr="009E0336" w:rsidRDefault="00091387">
            <w:pPr>
              <w:pStyle w:val="Standard"/>
              <w:rPr>
                <w:sz w:val="20"/>
                <w:szCs w:val="20"/>
              </w:rPr>
            </w:pPr>
            <w:r w:rsidRPr="009E0336">
              <w:rPr>
                <w:b/>
                <w:bCs/>
                <w:color w:val="000000"/>
                <w:sz w:val="20"/>
                <w:szCs w:val="20"/>
              </w:rPr>
              <w:lastRenderedPageBreak/>
              <w:t>Obrazloženje izračuna financijskih sredstava:</w:t>
            </w:r>
          </w:p>
        </w:tc>
        <w:tc>
          <w:tcPr>
            <w:tcW w:w="8528"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AAABA5" w14:textId="10D937BF" w:rsidR="00FA6BF1" w:rsidRPr="009E0336" w:rsidRDefault="000621DA" w:rsidP="00C97AA2">
            <w:pPr>
              <w:spacing w:line="240" w:lineRule="auto"/>
              <w:jc w:val="both"/>
              <w:rPr>
                <w:rFonts w:ascii="Times New Roman" w:hAnsi="Times New Roman" w:cs="Times New Roman"/>
                <w:iCs/>
                <w:color w:val="FF0000"/>
                <w:sz w:val="20"/>
                <w:szCs w:val="20"/>
              </w:rPr>
            </w:pPr>
            <w:r w:rsidRPr="009E0336">
              <w:rPr>
                <w:rFonts w:ascii="Times New Roman" w:hAnsi="Times New Roman" w:cs="Times New Roman"/>
                <w:iCs/>
                <w:sz w:val="20"/>
                <w:szCs w:val="20"/>
              </w:rPr>
              <w:t>Prihodi aktivnosti Rashodi djelatnosti za 202</w:t>
            </w:r>
            <w:r w:rsidR="009D178B" w:rsidRPr="009E0336">
              <w:rPr>
                <w:rFonts w:ascii="Times New Roman" w:hAnsi="Times New Roman" w:cs="Times New Roman"/>
                <w:iCs/>
                <w:sz w:val="20"/>
                <w:szCs w:val="20"/>
              </w:rPr>
              <w:t>5</w:t>
            </w:r>
            <w:r w:rsidRPr="009E0336">
              <w:rPr>
                <w:rFonts w:ascii="Times New Roman" w:hAnsi="Times New Roman" w:cs="Times New Roman"/>
                <w:iCs/>
                <w:sz w:val="20"/>
                <w:szCs w:val="20"/>
              </w:rPr>
              <w:t xml:space="preserve">.g. planiraju se </w:t>
            </w:r>
            <w:r w:rsidR="009E2552" w:rsidRPr="009E0336">
              <w:rPr>
                <w:rFonts w:ascii="Times New Roman" w:hAnsi="Times New Roman" w:cs="Times New Roman"/>
                <w:iCs/>
                <w:sz w:val="20"/>
                <w:szCs w:val="20"/>
              </w:rPr>
              <w:t xml:space="preserve">iz proračuna SDŽ </w:t>
            </w:r>
            <w:r w:rsidRPr="009E0336">
              <w:rPr>
                <w:rFonts w:ascii="Times New Roman" w:hAnsi="Times New Roman" w:cs="Times New Roman"/>
                <w:iCs/>
                <w:sz w:val="20"/>
                <w:szCs w:val="20"/>
              </w:rPr>
              <w:t xml:space="preserve">u iznosu od </w:t>
            </w:r>
            <w:r w:rsidR="00E53632" w:rsidRPr="009E0336">
              <w:rPr>
                <w:rFonts w:ascii="Times New Roman" w:hAnsi="Times New Roman" w:cs="Times New Roman"/>
                <w:iCs/>
                <w:sz w:val="20"/>
                <w:szCs w:val="20"/>
              </w:rPr>
              <w:t>630.</w:t>
            </w:r>
            <w:r w:rsidRPr="009E0336">
              <w:rPr>
                <w:rFonts w:ascii="Times New Roman" w:hAnsi="Times New Roman" w:cs="Times New Roman"/>
                <w:iCs/>
                <w:sz w:val="20"/>
                <w:szCs w:val="20"/>
              </w:rPr>
              <w:t>000,00 eura</w:t>
            </w:r>
            <w:r w:rsidR="005D263F" w:rsidRPr="009E0336">
              <w:rPr>
                <w:rFonts w:ascii="Times New Roman" w:hAnsi="Times New Roman" w:cs="Times New Roman"/>
                <w:iCs/>
                <w:sz w:val="20"/>
                <w:szCs w:val="20"/>
              </w:rPr>
              <w:t xml:space="preserve"> (</w:t>
            </w:r>
            <w:r w:rsidR="00E53632" w:rsidRPr="009E0336">
              <w:rPr>
                <w:rFonts w:ascii="Times New Roman" w:hAnsi="Times New Roman" w:cs="Times New Roman"/>
                <w:iCs/>
                <w:sz w:val="20"/>
                <w:szCs w:val="20"/>
              </w:rPr>
              <w:t>1,2</w:t>
            </w:r>
            <w:r w:rsidR="005D263F" w:rsidRPr="009E0336">
              <w:rPr>
                <w:rFonts w:ascii="Times New Roman" w:hAnsi="Times New Roman" w:cs="Times New Roman"/>
                <w:iCs/>
                <w:sz w:val="20"/>
                <w:szCs w:val="20"/>
              </w:rPr>
              <w:t xml:space="preserve"> % ukupnog plana) </w:t>
            </w:r>
            <w:r w:rsidRPr="009E0336">
              <w:rPr>
                <w:rFonts w:ascii="Times New Roman" w:hAnsi="Times New Roman" w:cs="Times New Roman"/>
                <w:iCs/>
                <w:sz w:val="20"/>
                <w:szCs w:val="20"/>
              </w:rPr>
              <w:t xml:space="preserve">za financiranje rada </w:t>
            </w:r>
            <w:r w:rsidR="009E2552" w:rsidRPr="009E0336">
              <w:rPr>
                <w:rFonts w:ascii="Times New Roman" w:hAnsi="Times New Roman" w:cs="Times New Roman"/>
                <w:iCs/>
                <w:sz w:val="20"/>
                <w:szCs w:val="20"/>
              </w:rPr>
              <w:t xml:space="preserve">medicinskih sestara/tehničara u ambulanti i za sufinanciranje punktova pripravnosti </w:t>
            </w:r>
            <w:r w:rsidR="009C3736" w:rsidRPr="009E0336">
              <w:rPr>
                <w:rFonts w:ascii="Times New Roman" w:hAnsi="Times New Roman" w:cs="Times New Roman"/>
                <w:iCs/>
                <w:sz w:val="20"/>
                <w:szCs w:val="20"/>
              </w:rPr>
              <w:t>(</w:t>
            </w:r>
            <w:proofErr w:type="spellStart"/>
            <w:r w:rsidR="009C3736" w:rsidRPr="009E0336">
              <w:rPr>
                <w:rFonts w:ascii="Times New Roman" w:hAnsi="Times New Roman" w:cs="Times New Roman"/>
                <w:iCs/>
                <w:sz w:val="20"/>
                <w:szCs w:val="20"/>
              </w:rPr>
              <w:t>nadstandard</w:t>
            </w:r>
            <w:proofErr w:type="spellEnd"/>
            <w:r w:rsidR="009C3736" w:rsidRPr="009E0336">
              <w:rPr>
                <w:rFonts w:ascii="Times New Roman" w:hAnsi="Times New Roman" w:cs="Times New Roman"/>
                <w:iCs/>
                <w:sz w:val="20"/>
                <w:szCs w:val="20"/>
              </w:rPr>
              <w:t>)</w:t>
            </w:r>
            <w:r w:rsidRPr="009E0336">
              <w:rPr>
                <w:rFonts w:ascii="Times New Roman" w:hAnsi="Times New Roman" w:cs="Times New Roman"/>
                <w:iCs/>
                <w:sz w:val="20"/>
                <w:szCs w:val="20"/>
              </w:rPr>
              <w:t xml:space="preserve">, </w:t>
            </w:r>
            <w:r w:rsidR="009E2552" w:rsidRPr="009E0336">
              <w:rPr>
                <w:rFonts w:ascii="Times New Roman" w:hAnsi="Times New Roman" w:cs="Times New Roman"/>
                <w:iCs/>
                <w:sz w:val="20"/>
                <w:szCs w:val="20"/>
              </w:rPr>
              <w:t xml:space="preserve">iz vlastitih prihoda Zavoda </w:t>
            </w:r>
            <w:r w:rsidR="002213D4" w:rsidRPr="009E0336">
              <w:rPr>
                <w:rFonts w:ascii="Times New Roman" w:hAnsi="Times New Roman" w:cs="Times New Roman"/>
                <w:iCs/>
                <w:sz w:val="20"/>
                <w:szCs w:val="20"/>
              </w:rPr>
              <w:t xml:space="preserve">u iznosu od </w:t>
            </w:r>
            <w:r w:rsidR="00E53632" w:rsidRPr="009E0336">
              <w:rPr>
                <w:rFonts w:ascii="Times New Roman" w:hAnsi="Times New Roman" w:cs="Times New Roman"/>
                <w:iCs/>
                <w:sz w:val="20"/>
                <w:szCs w:val="20"/>
              </w:rPr>
              <w:t>198</w:t>
            </w:r>
            <w:r w:rsidRPr="009E0336">
              <w:rPr>
                <w:rFonts w:ascii="Times New Roman" w:hAnsi="Times New Roman" w:cs="Times New Roman"/>
                <w:iCs/>
                <w:sz w:val="20"/>
                <w:szCs w:val="20"/>
              </w:rPr>
              <w:t>.</w:t>
            </w:r>
            <w:r w:rsidR="00E53632" w:rsidRPr="009E0336">
              <w:rPr>
                <w:rFonts w:ascii="Times New Roman" w:hAnsi="Times New Roman" w:cs="Times New Roman"/>
                <w:iCs/>
                <w:sz w:val="20"/>
                <w:szCs w:val="20"/>
              </w:rPr>
              <w:t xml:space="preserve">000,00 </w:t>
            </w:r>
            <w:r w:rsidRPr="009E0336">
              <w:rPr>
                <w:rFonts w:ascii="Times New Roman" w:hAnsi="Times New Roman" w:cs="Times New Roman"/>
                <w:iCs/>
                <w:sz w:val="20"/>
                <w:szCs w:val="20"/>
              </w:rPr>
              <w:t>eura</w:t>
            </w:r>
            <w:r w:rsidR="005D263F" w:rsidRPr="009E0336">
              <w:rPr>
                <w:rFonts w:ascii="Times New Roman" w:hAnsi="Times New Roman" w:cs="Times New Roman"/>
                <w:iCs/>
                <w:sz w:val="20"/>
                <w:szCs w:val="20"/>
              </w:rPr>
              <w:t xml:space="preserve"> (</w:t>
            </w:r>
            <w:r w:rsidR="00CD0DE9" w:rsidRPr="009E0336">
              <w:rPr>
                <w:rFonts w:ascii="Times New Roman" w:hAnsi="Times New Roman" w:cs="Times New Roman"/>
                <w:iCs/>
                <w:sz w:val="20"/>
                <w:szCs w:val="20"/>
              </w:rPr>
              <w:t>0,</w:t>
            </w:r>
            <w:r w:rsidR="00E53632" w:rsidRPr="009E0336">
              <w:rPr>
                <w:rFonts w:ascii="Times New Roman" w:hAnsi="Times New Roman" w:cs="Times New Roman"/>
                <w:iCs/>
                <w:sz w:val="20"/>
                <w:szCs w:val="20"/>
              </w:rPr>
              <w:t>6</w:t>
            </w:r>
            <w:r w:rsidR="005D263F" w:rsidRPr="009E0336">
              <w:rPr>
                <w:rFonts w:ascii="Times New Roman" w:hAnsi="Times New Roman" w:cs="Times New Roman"/>
                <w:iCs/>
                <w:sz w:val="20"/>
                <w:szCs w:val="20"/>
              </w:rPr>
              <w:t xml:space="preserve"> % ukupnog plana) </w:t>
            </w:r>
            <w:r w:rsidR="009C3736" w:rsidRPr="009E0336">
              <w:rPr>
                <w:rFonts w:ascii="Times New Roman" w:hAnsi="Times New Roman" w:cs="Times New Roman"/>
                <w:iCs/>
                <w:sz w:val="20"/>
                <w:szCs w:val="20"/>
              </w:rPr>
              <w:t xml:space="preserve">za financiranje rashoda poslovanja, </w:t>
            </w:r>
            <w:r w:rsidR="002213D4" w:rsidRPr="009E0336">
              <w:rPr>
                <w:rFonts w:ascii="Times New Roman" w:hAnsi="Times New Roman" w:cs="Times New Roman"/>
                <w:iCs/>
                <w:sz w:val="20"/>
                <w:szCs w:val="20"/>
              </w:rPr>
              <w:t xml:space="preserve">iz prihoda za posebne namjene (prihod od HZZO-a) u iznosu od </w:t>
            </w:r>
            <w:r w:rsidR="00E53632" w:rsidRPr="009E0336">
              <w:rPr>
                <w:rFonts w:ascii="Times New Roman" w:hAnsi="Times New Roman" w:cs="Times New Roman"/>
                <w:iCs/>
                <w:sz w:val="20"/>
                <w:szCs w:val="20"/>
              </w:rPr>
              <w:t>27.518.000,00</w:t>
            </w:r>
            <w:r w:rsidR="009C3736" w:rsidRPr="009E0336">
              <w:rPr>
                <w:rFonts w:ascii="Times New Roman" w:hAnsi="Times New Roman" w:cs="Times New Roman"/>
                <w:iCs/>
                <w:sz w:val="20"/>
                <w:szCs w:val="20"/>
              </w:rPr>
              <w:t xml:space="preserve"> eura </w:t>
            </w:r>
            <w:r w:rsidR="005D263F" w:rsidRPr="009E0336">
              <w:rPr>
                <w:rFonts w:ascii="Times New Roman" w:hAnsi="Times New Roman" w:cs="Times New Roman"/>
                <w:iCs/>
                <w:sz w:val="20"/>
                <w:szCs w:val="20"/>
              </w:rPr>
              <w:t>(</w:t>
            </w:r>
            <w:r w:rsidR="00E53632" w:rsidRPr="009E0336">
              <w:rPr>
                <w:rFonts w:ascii="Times New Roman" w:hAnsi="Times New Roman" w:cs="Times New Roman"/>
                <w:iCs/>
                <w:sz w:val="20"/>
                <w:szCs w:val="20"/>
              </w:rPr>
              <w:t>83,2</w:t>
            </w:r>
            <w:r w:rsidR="005D263F" w:rsidRPr="009E0336">
              <w:rPr>
                <w:rFonts w:ascii="Times New Roman" w:hAnsi="Times New Roman" w:cs="Times New Roman"/>
                <w:iCs/>
                <w:sz w:val="20"/>
                <w:szCs w:val="20"/>
              </w:rPr>
              <w:t xml:space="preserve"> % </w:t>
            </w:r>
            <w:r w:rsidR="00320521" w:rsidRPr="009E0336">
              <w:rPr>
                <w:rFonts w:ascii="Times New Roman" w:hAnsi="Times New Roman" w:cs="Times New Roman"/>
                <w:iCs/>
                <w:sz w:val="20"/>
                <w:szCs w:val="20"/>
              </w:rPr>
              <w:t xml:space="preserve"> </w:t>
            </w:r>
            <w:r w:rsidR="005D263F" w:rsidRPr="009E0336">
              <w:rPr>
                <w:rFonts w:ascii="Times New Roman" w:hAnsi="Times New Roman" w:cs="Times New Roman"/>
                <w:iCs/>
                <w:sz w:val="20"/>
                <w:szCs w:val="20"/>
              </w:rPr>
              <w:t xml:space="preserve">ukupnog plana) </w:t>
            </w:r>
            <w:r w:rsidR="009C3736" w:rsidRPr="009E0336">
              <w:rPr>
                <w:rFonts w:ascii="Times New Roman" w:hAnsi="Times New Roman" w:cs="Times New Roman"/>
                <w:iCs/>
                <w:sz w:val="20"/>
                <w:szCs w:val="20"/>
              </w:rPr>
              <w:t xml:space="preserve">za financiranje ugovorenih timova hitne medicine i sanitetskog prijevoza te </w:t>
            </w:r>
            <w:r w:rsidR="002213D4" w:rsidRPr="009E0336">
              <w:rPr>
                <w:rFonts w:ascii="Times New Roman" w:hAnsi="Times New Roman" w:cs="Times New Roman"/>
                <w:iCs/>
                <w:sz w:val="20"/>
                <w:szCs w:val="20"/>
              </w:rPr>
              <w:t xml:space="preserve">iz izvora pomoći u iznosu od </w:t>
            </w:r>
            <w:r w:rsidR="00E53632" w:rsidRPr="009E0336">
              <w:rPr>
                <w:rFonts w:ascii="Times New Roman" w:hAnsi="Times New Roman" w:cs="Times New Roman"/>
                <w:iCs/>
                <w:sz w:val="20"/>
                <w:szCs w:val="20"/>
              </w:rPr>
              <w:t>92.00</w:t>
            </w:r>
            <w:r w:rsidR="009C3736" w:rsidRPr="009E0336">
              <w:rPr>
                <w:rFonts w:ascii="Times New Roman" w:hAnsi="Times New Roman" w:cs="Times New Roman"/>
                <w:iCs/>
                <w:sz w:val="20"/>
                <w:szCs w:val="20"/>
              </w:rPr>
              <w:t xml:space="preserve">0,00 eura </w:t>
            </w:r>
            <w:r w:rsidR="005D263F" w:rsidRPr="009E0336">
              <w:rPr>
                <w:rFonts w:ascii="Times New Roman" w:hAnsi="Times New Roman" w:cs="Times New Roman"/>
                <w:iCs/>
                <w:sz w:val="20"/>
                <w:szCs w:val="20"/>
              </w:rPr>
              <w:t>(</w:t>
            </w:r>
            <w:r w:rsidR="00E53632" w:rsidRPr="009E0336">
              <w:rPr>
                <w:rFonts w:ascii="Times New Roman" w:hAnsi="Times New Roman" w:cs="Times New Roman"/>
                <w:iCs/>
                <w:sz w:val="20"/>
                <w:szCs w:val="20"/>
              </w:rPr>
              <w:t>0,3</w:t>
            </w:r>
            <w:r w:rsidR="005D263F" w:rsidRPr="009E0336">
              <w:rPr>
                <w:rFonts w:ascii="Times New Roman" w:hAnsi="Times New Roman" w:cs="Times New Roman"/>
                <w:iCs/>
                <w:sz w:val="20"/>
                <w:szCs w:val="20"/>
              </w:rPr>
              <w:t xml:space="preserve"> % </w:t>
            </w:r>
            <w:r w:rsidR="00320521" w:rsidRPr="009E0336">
              <w:rPr>
                <w:rFonts w:ascii="Times New Roman" w:hAnsi="Times New Roman" w:cs="Times New Roman"/>
                <w:iCs/>
                <w:sz w:val="20"/>
                <w:szCs w:val="20"/>
              </w:rPr>
              <w:t xml:space="preserve">od </w:t>
            </w:r>
            <w:r w:rsidR="005D263F" w:rsidRPr="009E0336">
              <w:rPr>
                <w:rFonts w:ascii="Times New Roman" w:hAnsi="Times New Roman" w:cs="Times New Roman"/>
                <w:iCs/>
                <w:sz w:val="20"/>
                <w:szCs w:val="20"/>
              </w:rPr>
              <w:t>ukupnog plana za 202</w:t>
            </w:r>
            <w:r w:rsidR="00171DE3" w:rsidRPr="009E0336">
              <w:rPr>
                <w:rFonts w:ascii="Times New Roman" w:hAnsi="Times New Roman" w:cs="Times New Roman"/>
                <w:iCs/>
                <w:sz w:val="20"/>
                <w:szCs w:val="20"/>
              </w:rPr>
              <w:t>5</w:t>
            </w:r>
            <w:r w:rsidR="005D263F" w:rsidRPr="009E0336">
              <w:rPr>
                <w:rFonts w:ascii="Times New Roman" w:hAnsi="Times New Roman" w:cs="Times New Roman"/>
                <w:iCs/>
                <w:sz w:val="20"/>
                <w:szCs w:val="20"/>
              </w:rPr>
              <w:t xml:space="preserve">.g.) </w:t>
            </w:r>
            <w:r w:rsidR="009C3736" w:rsidRPr="009E0336">
              <w:rPr>
                <w:rFonts w:ascii="Times New Roman" w:hAnsi="Times New Roman" w:cs="Times New Roman"/>
                <w:iCs/>
                <w:sz w:val="20"/>
                <w:szCs w:val="20"/>
              </w:rPr>
              <w:t xml:space="preserve">za isplate zaposlenicima temeljem pravomoćnih presuda za prekovremeni </w:t>
            </w:r>
            <w:r w:rsidR="00E53632" w:rsidRPr="009E0336">
              <w:rPr>
                <w:rFonts w:ascii="Times New Roman" w:hAnsi="Times New Roman" w:cs="Times New Roman"/>
                <w:iCs/>
                <w:sz w:val="20"/>
                <w:szCs w:val="20"/>
              </w:rPr>
              <w:t>rad.</w:t>
            </w:r>
            <w:r w:rsidR="00CD0DE9" w:rsidRPr="009E0336">
              <w:rPr>
                <w:rFonts w:ascii="Times New Roman" w:hAnsi="Times New Roman" w:cs="Times New Roman"/>
                <w:iCs/>
                <w:sz w:val="20"/>
                <w:szCs w:val="20"/>
              </w:rPr>
              <w:t xml:space="preserve"> </w:t>
            </w:r>
            <w:r w:rsidR="00091387" w:rsidRPr="009E0336">
              <w:rPr>
                <w:rFonts w:ascii="Times New Roman" w:hAnsi="Times New Roman" w:cs="Times New Roman"/>
                <w:iCs/>
                <w:sz w:val="20"/>
                <w:szCs w:val="20"/>
              </w:rPr>
              <w:t>Rashodi koji će financirati u ovoj aktivnosti u 202</w:t>
            </w:r>
            <w:r w:rsidR="00E53632" w:rsidRPr="009E0336">
              <w:rPr>
                <w:rFonts w:ascii="Times New Roman" w:hAnsi="Times New Roman" w:cs="Times New Roman"/>
                <w:iCs/>
                <w:sz w:val="20"/>
                <w:szCs w:val="20"/>
              </w:rPr>
              <w:t>5</w:t>
            </w:r>
            <w:r w:rsidR="00091387" w:rsidRPr="009E0336">
              <w:rPr>
                <w:rFonts w:ascii="Times New Roman" w:hAnsi="Times New Roman" w:cs="Times New Roman"/>
                <w:iCs/>
                <w:sz w:val="20"/>
                <w:szCs w:val="20"/>
              </w:rPr>
              <w:t xml:space="preserve">.g. su: rashodi za zaposlene u iznosu od </w:t>
            </w:r>
            <w:r w:rsidR="00E53632" w:rsidRPr="009E0336">
              <w:rPr>
                <w:rFonts w:ascii="Times New Roman" w:hAnsi="Times New Roman" w:cs="Times New Roman"/>
                <w:iCs/>
                <w:sz w:val="20"/>
                <w:szCs w:val="20"/>
              </w:rPr>
              <w:t>25.198.000</w:t>
            </w:r>
            <w:r w:rsidR="00C9075B" w:rsidRPr="009E0336">
              <w:rPr>
                <w:rFonts w:ascii="Times New Roman" w:hAnsi="Times New Roman" w:cs="Times New Roman"/>
                <w:iCs/>
                <w:sz w:val="20"/>
                <w:szCs w:val="20"/>
              </w:rPr>
              <w:t>,00</w:t>
            </w:r>
            <w:r w:rsidR="00091387" w:rsidRPr="009E0336">
              <w:rPr>
                <w:rFonts w:ascii="Times New Roman" w:hAnsi="Times New Roman" w:cs="Times New Roman"/>
                <w:iCs/>
                <w:sz w:val="20"/>
                <w:szCs w:val="20"/>
              </w:rPr>
              <w:t xml:space="preserve"> €  odnosno </w:t>
            </w:r>
            <w:r w:rsidR="00E53632" w:rsidRPr="009E0336">
              <w:rPr>
                <w:rFonts w:ascii="Times New Roman" w:hAnsi="Times New Roman" w:cs="Times New Roman"/>
                <w:iCs/>
                <w:sz w:val="20"/>
                <w:szCs w:val="20"/>
              </w:rPr>
              <w:t>76,2</w:t>
            </w:r>
            <w:r w:rsidR="00091387" w:rsidRPr="009E0336">
              <w:rPr>
                <w:rFonts w:ascii="Times New Roman" w:hAnsi="Times New Roman" w:cs="Times New Roman"/>
                <w:iCs/>
                <w:sz w:val="20"/>
                <w:szCs w:val="20"/>
              </w:rPr>
              <w:t xml:space="preserve"> % ukupnog plana za 202</w:t>
            </w:r>
            <w:r w:rsidR="00E53632" w:rsidRPr="009E0336">
              <w:rPr>
                <w:rFonts w:ascii="Times New Roman" w:hAnsi="Times New Roman" w:cs="Times New Roman"/>
                <w:iCs/>
                <w:sz w:val="20"/>
                <w:szCs w:val="20"/>
              </w:rPr>
              <w:t>5</w:t>
            </w:r>
            <w:r w:rsidR="00091387" w:rsidRPr="009E0336">
              <w:rPr>
                <w:rFonts w:ascii="Times New Roman" w:hAnsi="Times New Roman" w:cs="Times New Roman"/>
                <w:iCs/>
                <w:sz w:val="20"/>
                <w:szCs w:val="20"/>
              </w:rPr>
              <w:t xml:space="preserve">.g., materijalni rashodi u iznosu od </w:t>
            </w:r>
            <w:r w:rsidR="00E53632" w:rsidRPr="009E0336">
              <w:rPr>
                <w:rFonts w:ascii="Times New Roman" w:hAnsi="Times New Roman" w:cs="Times New Roman"/>
                <w:iCs/>
                <w:sz w:val="20"/>
                <w:szCs w:val="20"/>
              </w:rPr>
              <w:t>3.214.000</w:t>
            </w:r>
            <w:r w:rsidR="00C9075B" w:rsidRPr="009E0336">
              <w:rPr>
                <w:rFonts w:ascii="Times New Roman" w:hAnsi="Times New Roman" w:cs="Times New Roman"/>
                <w:iCs/>
                <w:sz w:val="20"/>
                <w:szCs w:val="20"/>
              </w:rPr>
              <w:t>,00</w:t>
            </w:r>
            <w:r w:rsidR="00091387" w:rsidRPr="009E0336">
              <w:rPr>
                <w:rFonts w:ascii="Times New Roman" w:hAnsi="Times New Roman" w:cs="Times New Roman"/>
                <w:iCs/>
                <w:sz w:val="20"/>
                <w:szCs w:val="20"/>
              </w:rPr>
              <w:t xml:space="preserve"> € odnosno </w:t>
            </w:r>
            <w:r w:rsidR="00E53632" w:rsidRPr="009E0336">
              <w:rPr>
                <w:rFonts w:ascii="Times New Roman" w:hAnsi="Times New Roman" w:cs="Times New Roman"/>
                <w:iCs/>
                <w:sz w:val="20"/>
                <w:szCs w:val="20"/>
              </w:rPr>
              <w:t>9,7</w:t>
            </w:r>
            <w:r w:rsidR="00091387" w:rsidRPr="009E0336">
              <w:rPr>
                <w:rFonts w:ascii="Times New Roman" w:hAnsi="Times New Roman" w:cs="Times New Roman"/>
                <w:iCs/>
                <w:sz w:val="20"/>
                <w:szCs w:val="20"/>
              </w:rPr>
              <w:t xml:space="preserve"> % ukupnog plana i financijski rashodi u iznosu od </w:t>
            </w:r>
            <w:r w:rsidR="00E53632" w:rsidRPr="009E0336">
              <w:rPr>
                <w:rFonts w:ascii="Times New Roman" w:hAnsi="Times New Roman" w:cs="Times New Roman"/>
                <w:iCs/>
                <w:sz w:val="20"/>
                <w:szCs w:val="20"/>
              </w:rPr>
              <w:t>26</w:t>
            </w:r>
            <w:r w:rsidR="00091387" w:rsidRPr="009E0336">
              <w:rPr>
                <w:rFonts w:ascii="Times New Roman" w:hAnsi="Times New Roman" w:cs="Times New Roman"/>
                <w:iCs/>
                <w:sz w:val="20"/>
                <w:szCs w:val="20"/>
              </w:rPr>
              <w:t>.</w:t>
            </w:r>
            <w:r w:rsidR="00C9075B" w:rsidRPr="009E0336">
              <w:rPr>
                <w:rFonts w:ascii="Times New Roman" w:hAnsi="Times New Roman" w:cs="Times New Roman"/>
                <w:iCs/>
                <w:sz w:val="20"/>
                <w:szCs w:val="20"/>
              </w:rPr>
              <w:t>000,00</w:t>
            </w:r>
            <w:r w:rsidR="00091387" w:rsidRPr="009E0336">
              <w:rPr>
                <w:rFonts w:ascii="Times New Roman" w:hAnsi="Times New Roman" w:cs="Times New Roman"/>
                <w:iCs/>
                <w:sz w:val="20"/>
                <w:szCs w:val="20"/>
              </w:rPr>
              <w:t xml:space="preserve">  € odnosno 0,</w:t>
            </w:r>
            <w:r w:rsidR="00C9075B" w:rsidRPr="009E0336">
              <w:rPr>
                <w:rFonts w:ascii="Times New Roman" w:hAnsi="Times New Roman" w:cs="Times New Roman"/>
                <w:iCs/>
                <w:sz w:val="20"/>
                <w:szCs w:val="20"/>
              </w:rPr>
              <w:t>1</w:t>
            </w:r>
            <w:r w:rsidR="00091387" w:rsidRPr="009E0336">
              <w:rPr>
                <w:rFonts w:ascii="Times New Roman" w:hAnsi="Times New Roman" w:cs="Times New Roman"/>
                <w:iCs/>
                <w:sz w:val="20"/>
                <w:szCs w:val="20"/>
              </w:rPr>
              <w:t xml:space="preserve"> % ukupnog plana.</w:t>
            </w:r>
          </w:p>
          <w:p w14:paraId="6D1AA378" w14:textId="3D6062AA" w:rsidR="005675EB" w:rsidRPr="009E0336" w:rsidRDefault="00091387" w:rsidP="00C97AA2">
            <w:pPr>
              <w:spacing w:line="240" w:lineRule="auto"/>
              <w:jc w:val="both"/>
              <w:rPr>
                <w:rFonts w:ascii="Times New Roman" w:hAnsi="Times New Roman" w:cs="Times New Roman"/>
                <w:iCs/>
                <w:sz w:val="20"/>
                <w:szCs w:val="20"/>
              </w:rPr>
            </w:pPr>
            <w:r w:rsidRPr="009E0336">
              <w:rPr>
                <w:rFonts w:ascii="Times New Roman" w:hAnsi="Times New Roman" w:cs="Times New Roman"/>
                <w:iCs/>
                <w:sz w:val="20"/>
                <w:szCs w:val="20"/>
              </w:rPr>
              <w:t>U 202</w:t>
            </w:r>
            <w:r w:rsidR="00E53632" w:rsidRPr="009E0336">
              <w:rPr>
                <w:rFonts w:ascii="Times New Roman" w:hAnsi="Times New Roman" w:cs="Times New Roman"/>
                <w:iCs/>
                <w:sz w:val="20"/>
                <w:szCs w:val="20"/>
              </w:rPr>
              <w:t>6</w:t>
            </w:r>
            <w:r w:rsidRPr="009E0336">
              <w:rPr>
                <w:rFonts w:ascii="Times New Roman" w:hAnsi="Times New Roman" w:cs="Times New Roman"/>
                <w:iCs/>
                <w:sz w:val="20"/>
                <w:szCs w:val="20"/>
              </w:rPr>
              <w:t xml:space="preserve">. godini sredstva za ovu aktivnost planiraju se </w:t>
            </w:r>
            <w:r w:rsidR="00EF4FAC" w:rsidRPr="009E0336">
              <w:rPr>
                <w:rFonts w:ascii="Times New Roman" w:hAnsi="Times New Roman" w:cs="Times New Roman"/>
                <w:iCs/>
                <w:sz w:val="20"/>
                <w:szCs w:val="20"/>
              </w:rPr>
              <w:t>veća</w:t>
            </w:r>
            <w:r w:rsidR="00C9075B" w:rsidRPr="009E0336">
              <w:rPr>
                <w:rFonts w:ascii="Times New Roman" w:hAnsi="Times New Roman" w:cs="Times New Roman"/>
                <w:iCs/>
                <w:sz w:val="20"/>
                <w:szCs w:val="20"/>
              </w:rPr>
              <w:t xml:space="preserve"> za </w:t>
            </w:r>
            <w:r w:rsidR="00EF4FAC" w:rsidRPr="009E0336">
              <w:rPr>
                <w:rFonts w:ascii="Times New Roman" w:hAnsi="Times New Roman" w:cs="Times New Roman"/>
                <w:iCs/>
                <w:sz w:val="20"/>
                <w:szCs w:val="20"/>
              </w:rPr>
              <w:t>1,9</w:t>
            </w:r>
            <w:r w:rsidRPr="009E0336">
              <w:rPr>
                <w:rFonts w:ascii="Times New Roman" w:hAnsi="Times New Roman" w:cs="Times New Roman"/>
                <w:iCs/>
                <w:sz w:val="20"/>
                <w:szCs w:val="20"/>
              </w:rPr>
              <w:t xml:space="preserve"> %</w:t>
            </w:r>
            <w:r w:rsidR="00147947" w:rsidRPr="009E0336">
              <w:rPr>
                <w:rFonts w:ascii="Times New Roman" w:hAnsi="Times New Roman" w:cs="Times New Roman"/>
                <w:iCs/>
                <w:sz w:val="20"/>
                <w:szCs w:val="20"/>
              </w:rPr>
              <w:t xml:space="preserve"> u odnosu na prethodnu godinu</w:t>
            </w:r>
            <w:r w:rsidR="00EF4FAC" w:rsidRPr="009E0336">
              <w:rPr>
                <w:rFonts w:ascii="Times New Roman" w:hAnsi="Times New Roman" w:cs="Times New Roman"/>
                <w:iCs/>
                <w:sz w:val="20"/>
                <w:szCs w:val="20"/>
              </w:rPr>
              <w:t xml:space="preserve"> jer se planira povećanje rashoda za zaposlene zbog minulog staža (0,5 % po godini), zbog većeg broja medicinskih tehničara sa završen</w:t>
            </w:r>
            <w:r w:rsidR="00497486" w:rsidRPr="009E0336">
              <w:rPr>
                <w:rFonts w:ascii="Times New Roman" w:hAnsi="Times New Roman" w:cs="Times New Roman"/>
                <w:iCs/>
                <w:sz w:val="20"/>
                <w:szCs w:val="20"/>
              </w:rPr>
              <w:t>im</w:t>
            </w:r>
            <w:r w:rsidR="00EF4FAC" w:rsidRPr="009E0336">
              <w:rPr>
                <w:rFonts w:ascii="Times New Roman" w:hAnsi="Times New Roman" w:cs="Times New Roman"/>
                <w:iCs/>
                <w:sz w:val="20"/>
                <w:szCs w:val="20"/>
              </w:rPr>
              <w:t xml:space="preserve"> </w:t>
            </w:r>
            <w:r w:rsidR="00497486" w:rsidRPr="009E0336">
              <w:rPr>
                <w:rFonts w:ascii="Times New Roman" w:hAnsi="Times New Roman" w:cs="Times New Roman"/>
                <w:iCs/>
                <w:sz w:val="20"/>
                <w:szCs w:val="20"/>
              </w:rPr>
              <w:t>sp</w:t>
            </w:r>
            <w:r w:rsidR="00EF4FAC" w:rsidRPr="009E0336">
              <w:rPr>
                <w:rFonts w:ascii="Times New Roman" w:hAnsi="Times New Roman" w:cs="Times New Roman"/>
                <w:iCs/>
                <w:sz w:val="20"/>
                <w:szCs w:val="20"/>
              </w:rPr>
              <w:t>ecijalističk</w:t>
            </w:r>
            <w:r w:rsidR="00497486" w:rsidRPr="009E0336">
              <w:rPr>
                <w:rFonts w:ascii="Times New Roman" w:hAnsi="Times New Roman" w:cs="Times New Roman"/>
                <w:iCs/>
                <w:sz w:val="20"/>
                <w:szCs w:val="20"/>
              </w:rPr>
              <w:t>im</w:t>
            </w:r>
            <w:r w:rsidR="00EF4FAC" w:rsidRPr="009E0336">
              <w:rPr>
                <w:rFonts w:ascii="Times New Roman" w:hAnsi="Times New Roman" w:cs="Times New Roman"/>
                <w:iCs/>
                <w:sz w:val="20"/>
                <w:szCs w:val="20"/>
              </w:rPr>
              <w:t xml:space="preserve"> usavršavanj</w:t>
            </w:r>
            <w:r w:rsidR="00497486" w:rsidRPr="009E0336">
              <w:rPr>
                <w:rFonts w:ascii="Times New Roman" w:hAnsi="Times New Roman" w:cs="Times New Roman"/>
                <w:iCs/>
                <w:sz w:val="20"/>
                <w:szCs w:val="20"/>
              </w:rPr>
              <w:t>em</w:t>
            </w:r>
            <w:r w:rsidR="00EF4FAC" w:rsidRPr="009E0336">
              <w:rPr>
                <w:rFonts w:ascii="Times New Roman" w:hAnsi="Times New Roman" w:cs="Times New Roman"/>
                <w:iCs/>
                <w:sz w:val="20"/>
                <w:szCs w:val="20"/>
              </w:rPr>
              <w:t xml:space="preserve"> iz  hitne medicine te ukidanj</w:t>
            </w:r>
            <w:r w:rsidR="005675EB" w:rsidRPr="009E0336">
              <w:rPr>
                <w:rFonts w:ascii="Times New Roman" w:hAnsi="Times New Roman" w:cs="Times New Roman"/>
                <w:iCs/>
                <w:sz w:val="20"/>
                <w:szCs w:val="20"/>
              </w:rPr>
              <w:t>e</w:t>
            </w:r>
            <w:r w:rsidR="00EF4FAC" w:rsidRPr="009E0336">
              <w:rPr>
                <w:rFonts w:ascii="Times New Roman" w:hAnsi="Times New Roman" w:cs="Times New Roman"/>
                <w:iCs/>
                <w:sz w:val="20"/>
                <w:szCs w:val="20"/>
              </w:rPr>
              <w:t xml:space="preserve"> </w:t>
            </w:r>
            <w:r w:rsidR="00497486" w:rsidRPr="009E0336">
              <w:rPr>
                <w:rFonts w:ascii="Times New Roman" w:hAnsi="Times New Roman" w:cs="Times New Roman"/>
                <w:iCs/>
                <w:sz w:val="20"/>
                <w:szCs w:val="20"/>
              </w:rPr>
              <w:t xml:space="preserve">olakšice </w:t>
            </w:r>
            <w:r w:rsidR="005675EB" w:rsidRPr="009E0336">
              <w:rPr>
                <w:rFonts w:ascii="Times New Roman" w:hAnsi="Times New Roman" w:cs="Times New Roman"/>
                <w:iCs/>
                <w:sz w:val="20"/>
                <w:szCs w:val="20"/>
              </w:rPr>
              <w:t xml:space="preserve">oslobođenja od </w:t>
            </w:r>
            <w:r w:rsidR="00171DE3" w:rsidRPr="009E0336">
              <w:rPr>
                <w:rFonts w:ascii="Times New Roman" w:hAnsi="Times New Roman" w:cs="Times New Roman"/>
                <w:iCs/>
                <w:sz w:val="20"/>
                <w:szCs w:val="20"/>
              </w:rPr>
              <w:t xml:space="preserve">obveze </w:t>
            </w:r>
            <w:r w:rsidR="005675EB" w:rsidRPr="009E0336">
              <w:rPr>
                <w:rFonts w:ascii="Times New Roman" w:hAnsi="Times New Roman" w:cs="Times New Roman"/>
                <w:iCs/>
                <w:sz w:val="20"/>
                <w:szCs w:val="20"/>
              </w:rPr>
              <w:t xml:space="preserve">doprinosa na </w:t>
            </w:r>
            <w:r w:rsidR="00EF4FAC" w:rsidRPr="009E0336">
              <w:rPr>
                <w:rFonts w:ascii="Times New Roman" w:hAnsi="Times New Roman" w:cs="Times New Roman"/>
                <w:iCs/>
                <w:sz w:val="20"/>
                <w:szCs w:val="20"/>
              </w:rPr>
              <w:t xml:space="preserve">plaću </w:t>
            </w:r>
            <w:r w:rsidR="005675EB" w:rsidRPr="009E0336">
              <w:rPr>
                <w:rFonts w:ascii="Times New Roman" w:hAnsi="Times New Roman" w:cs="Times New Roman"/>
                <w:iCs/>
                <w:sz w:val="20"/>
                <w:szCs w:val="20"/>
              </w:rPr>
              <w:t>za mlade osobe (do 30 godina života)</w:t>
            </w:r>
            <w:r w:rsidR="00171DE3" w:rsidRPr="009E0336">
              <w:rPr>
                <w:rFonts w:ascii="Times New Roman" w:hAnsi="Times New Roman" w:cs="Times New Roman"/>
                <w:iCs/>
                <w:sz w:val="20"/>
                <w:szCs w:val="20"/>
              </w:rPr>
              <w:t>. I</w:t>
            </w:r>
            <w:r w:rsidR="005675EB" w:rsidRPr="009E0336">
              <w:rPr>
                <w:rFonts w:ascii="Times New Roman" w:hAnsi="Times New Roman" w:cs="Times New Roman"/>
                <w:iCs/>
                <w:sz w:val="20"/>
                <w:szCs w:val="20"/>
              </w:rPr>
              <w:t>stovremeno</w:t>
            </w:r>
            <w:r w:rsidR="0040799A" w:rsidRPr="009E0336">
              <w:rPr>
                <w:rFonts w:ascii="Times New Roman" w:hAnsi="Times New Roman" w:cs="Times New Roman"/>
                <w:iCs/>
                <w:sz w:val="20"/>
                <w:szCs w:val="20"/>
              </w:rPr>
              <w:t xml:space="preserve">, planirano je da će sve presude za </w:t>
            </w:r>
            <w:r w:rsidR="00EF4FAC" w:rsidRPr="009E0336">
              <w:rPr>
                <w:rFonts w:ascii="Times New Roman" w:hAnsi="Times New Roman" w:cs="Times New Roman"/>
                <w:iCs/>
                <w:sz w:val="20"/>
                <w:szCs w:val="20"/>
              </w:rPr>
              <w:t xml:space="preserve">dodatke </w:t>
            </w:r>
            <w:r w:rsidR="00F8016C" w:rsidRPr="009E0336">
              <w:rPr>
                <w:rFonts w:ascii="Times New Roman" w:hAnsi="Times New Roman" w:cs="Times New Roman"/>
                <w:iCs/>
                <w:sz w:val="20"/>
                <w:szCs w:val="20"/>
              </w:rPr>
              <w:t xml:space="preserve">na </w:t>
            </w:r>
            <w:r w:rsidR="0040799A" w:rsidRPr="009E0336">
              <w:rPr>
                <w:rFonts w:ascii="Times New Roman" w:hAnsi="Times New Roman" w:cs="Times New Roman"/>
                <w:iCs/>
                <w:sz w:val="20"/>
                <w:szCs w:val="20"/>
              </w:rPr>
              <w:t>prekovremen</w:t>
            </w:r>
            <w:r w:rsidR="00EF4FAC" w:rsidRPr="009E0336">
              <w:rPr>
                <w:rFonts w:ascii="Times New Roman" w:hAnsi="Times New Roman" w:cs="Times New Roman"/>
                <w:iCs/>
                <w:sz w:val="20"/>
                <w:szCs w:val="20"/>
              </w:rPr>
              <w:t>i rad</w:t>
            </w:r>
            <w:r w:rsidR="0040799A" w:rsidRPr="009E0336">
              <w:rPr>
                <w:rFonts w:ascii="Times New Roman" w:hAnsi="Times New Roman" w:cs="Times New Roman"/>
                <w:iCs/>
                <w:sz w:val="20"/>
                <w:szCs w:val="20"/>
              </w:rPr>
              <w:t xml:space="preserve"> </w:t>
            </w:r>
            <w:r w:rsidR="00147947" w:rsidRPr="009E0336">
              <w:rPr>
                <w:rFonts w:ascii="Times New Roman" w:hAnsi="Times New Roman" w:cs="Times New Roman"/>
                <w:iCs/>
                <w:sz w:val="20"/>
                <w:szCs w:val="20"/>
              </w:rPr>
              <w:t xml:space="preserve">biti </w:t>
            </w:r>
            <w:r w:rsidR="0040799A" w:rsidRPr="009E0336">
              <w:rPr>
                <w:rFonts w:ascii="Times New Roman" w:hAnsi="Times New Roman" w:cs="Times New Roman"/>
                <w:iCs/>
                <w:sz w:val="20"/>
                <w:szCs w:val="20"/>
              </w:rPr>
              <w:t>refundira</w:t>
            </w:r>
            <w:r w:rsidR="00147947" w:rsidRPr="009E0336">
              <w:rPr>
                <w:rFonts w:ascii="Times New Roman" w:hAnsi="Times New Roman" w:cs="Times New Roman"/>
                <w:iCs/>
                <w:sz w:val="20"/>
                <w:szCs w:val="20"/>
              </w:rPr>
              <w:t>ne</w:t>
            </w:r>
            <w:r w:rsidR="0040799A" w:rsidRPr="009E0336">
              <w:rPr>
                <w:rFonts w:ascii="Times New Roman" w:hAnsi="Times New Roman" w:cs="Times New Roman"/>
                <w:iCs/>
                <w:sz w:val="20"/>
                <w:szCs w:val="20"/>
              </w:rPr>
              <w:t xml:space="preserve"> iz državnog proračuna tijekom 202</w:t>
            </w:r>
            <w:r w:rsidR="00EF4FAC" w:rsidRPr="009E0336">
              <w:rPr>
                <w:rFonts w:ascii="Times New Roman" w:hAnsi="Times New Roman" w:cs="Times New Roman"/>
                <w:iCs/>
                <w:sz w:val="20"/>
                <w:szCs w:val="20"/>
              </w:rPr>
              <w:t>5</w:t>
            </w:r>
            <w:r w:rsidR="0040799A" w:rsidRPr="009E0336">
              <w:rPr>
                <w:rFonts w:ascii="Times New Roman" w:hAnsi="Times New Roman" w:cs="Times New Roman"/>
                <w:iCs/>
                <w:sz w:val="20"/>
                <w:szCs w:val="20"/>
              </w:rPr>
              <w:t>.g. te da u 202</w:t>
            </w:r>
            <w:r w:rsidR="00EF4FAC" w:rsidRPr="009E0336">
              <w:rPr>
                <w:rFonts w:ascii="Times New Roman" w:hAnsi="Times New Roman" w:cs="Times New Roman"/>
                <w:iCs/>
                <w:sz w:val="20"/>
                <w:szCs w:val="20"/>
              </w:rPr>
              <w:t>6</w:t>
            </w:r>
            <w:r w:rsidR="0040799A" w:rsidRPr="009E0336">
              <w:rPr>
                <w:rFonts w:ascii="Times New Roman" w:hAnsi="Times New Roman" w:cs="Times New Roman"/>
                <w:iCs/>
                <w:sz w:val="20"/>
                <w:szCs w:val="20"/>
              </w:rPr>
              <w:t>.g.</w:t>
            </w:r>
            <w:r w:rsidR="00016F69" w:rsidRPr="009E0336">
              <w:rPr>
                <w:rFonts w:ascii="Times New Roman" w:hAnsi="Times New Roman" w:cs="Times New Roman"/>
                <w:iCs/>
                <w:sz w:val="20"/>
                <w:szCs w:val="20"/>
              </w:rPr>
              <w:t xml:space="preserve"> i 2027.g.</w:t>
            </w:r>
            <w:r w:rsidR="0040799A" w:rsidRPr="009E0336">
              <w:rPr>
                <w:rFonts w:ascii="Times New Roman" w:hAnsi="Times New Roman" w:cs="Times New Roman"/>
                <w:iCs/>
                <w:sz w:val="20"/>
                <w:szCs w:val="20"/>
              </w:rPr>
              <w:t xml:space="preserve"> neće biti </w:t>
            </w:r>
            <w:r w:rsidR="00147947" w:rsidRPr="009E0336">
              <w:rPr>
                <w:rFonts w:ascii="Times New Roman" w:hAnsi="Times New Roman" w:cs="Times New Roman"/>
                <w:iCs/>
                <w:sz w:val="20"/>
                <w:szCs w:val="20"/>
              </w:rPr>
              <w:t>prihoda od pomoći</w:t>
            </w:r>
            <w:r w:rsidR="0040799A" w:rsidRPr="009E0336">
              <w:rPr>
                <w:rFonts w:ascii="Times New Roman" w:hAnsi="Times New Roman" w:cs="Times New Roman"/>
                <w:iCs/>
                <w:sz w:val="20"/>
                <w:szCs w:val="20"/>
              </w:rPr>
              <w:t xml:space="preserve"> po toj osnovi.</w:t>
            </w:r>
            <w:r w:rsidR="00497486" w:rsidRPr="009E0336">
              <w:rPr>
                <w:rFonts w:ascii="Times New Roman" w:hAnsi="Times New Roman" w:cs="Times New Roman"/>
                <w:iCs/>
                <w:sz w:val="20"/>
                <w:szCs w:val="20"/>
              </w:rPr>
              <w:t xml:space="preserve"> </w:t>
            </w:r>
            <w:r w:rsidR="00960275" w:rsidRPr="009E0336">
              <w:rPr>
                <w:rFonts w:ascii="Times New Roman" w:hAnsi="Times New Roman" w:cs="Times New Roman"/>
                <w:iCs/>
                <w:sz w:val="20"/>
                <w:szCs w:val="20"/>
              </w:rPr>
              <w:t xml:space="preserve">Zbog </w:t>
            </w:r>
            <w:r w:rsidR="00147947" w:rsidRPr="009E0336">
              <w:rPr>
                <w:rFonts w:ascii="Times New Roman" w:hAnsi="Times New Roman" w:cs="Times New Roman"/>
                <w:iCs/>
                <w:sz w:val="20"/>
                <w:szCs w:val="20"/>
              </w:rPr>
              <w:t xml:space="preserve">navedenih </w:t>
            </w:r>
            <w:r w:rsidR="00960275" w:rsidRPr="009E0336">
              <w:rPr>
                <w:rFonts w:ascii="Times New Roman" w:hAnsi="Times New Roman" w:cs="Times New Roman"/>
                <w:iCs/>
                <w:sz w:val="20"/>
                <w:szCs w:val="20"/>
              </w:rPr>
              <w:t xml:space="preserve">promjena </w:t>
            </w:r>
            <w:r w:rsidR="005675EB" w:rsidRPr="009E0336">
              <w:rPr>
                <w:rFonts w:ascii="Times New Roman" w:hAnsi="Times New Roman" w:cs="Times New Roman"/>
                <w:iCs/>
                <w:sz w:val="20"/>
                <w:szCs w:val="20"/>
              </w:rPr>
              <w:t>planirano je povećanje prihoda iz proračuna SDŽ za 5,1%, povećanje vlastitih prihoda za 3 % te povećanje prihoda od HZZO-a za 2,1%. Uravnoteženo prihodima planiraju se rashodi za zaposlene u iznosu od 25.673.000,00 € (</w:t>
            </w:r>
            <w:r w:rsidR="00F8016C" w:rsidRPr="009E0336">
              <w:rPr>
                <w:rFonts w:ascii="Times New Roman" w:hAnsi="Times New Roman" w:cs="Times New Roman"/>
                <w:iCs/>
                <w:sz w:val="20"/>
                <w:szCs w:val="20"/>
              </w:rPr>
              <w:t xml:space="preserve">veći </w:t>
            </w:r>
            <w:r w:rsidR="005675EB" w:rsidRPr="009E0336">
              <w:rPr>
                <w:rFonts w:ascii="Times New Roman" w:hAnsi="Times New Roman" w:cs="Times New Roman"/>
                <w:iCs/>
                <w:sz w:val="20"/>
                <w:szCs w:val="20"/>
              </w:rPr>
              <w:t xml:space="preserve">za </w:t>
            </w:r>
            <w:r w:rsidR="00F8016C" w:rsidRPr="009E0336">
              <w:rPr>
                <w:rFonts w:ascii="Times New Roman" w:hAnsi="Times New Roman" w:cs="Times New Roman"/>
                <w:iCs/>
                <w:sz w:val="20"/>
                <w:szCs w:val="20"/>
              </w:rPr>
              <w:t>1,9</w:t>
            </w:r>
            <w:r w:rsidR="005675EB" w:rsidRPr="009E0336">
              <w:rPr>
                <w:rFonts w:ascii="Times New Roman" w:hAnsi="Times New Roman" w:cs="Times New Roman"/>
                <w:iCs/>
                <w:sz w:val="20"/>
                <w:szCs w:val="20"/>
              </w:rPr>
              <w:t xml:space="preserve"> % u odnosu na 202</w:t>
            </w:r>
            <w:r w:rsidR="00F8016C" w:rsidRPr="009E0336">
              <w:rPr>
                <w:rFonts w:ascii="Times New Roman" w:hAnsi="Times New Roman" w:cs="Times New Roman"/>
                <w:iCs/>
                <w:sz w:val="20"/>
                <w:szCs w:val="20"/>
              </w:rPr>
              <w:t>5</w:t>
            </w:r>
            <w:r w:rsidR="005675EB" w:rsidRPr="009E0336">
              <w:rPr>
                <w:rFonts w:ascii="Times New Roman" w:hAnsi="Times New Roman" w:cs="Times New Roman"/>
                <w:iCs/>
                <w:sz w:val="20"/>
                <w:szCs w:val="20"/>
              </w:rPr>
              <w:t>.g.), materijalni rashodi u iznosu od 3.276.000,00 € (</w:t>
            </w:r>
            <w:r w:rsidR="00F8016C" w:rsidRPr="009E0336">
              <w:rPr>
                <w:rFonts w:ascii="Times New Roman" w:hAnsi="Times New Roman" w:cs="Times New Roman"/>
                <w:iCs/>
                <w:sz w:val="20"/>
                <w:szCs w:val="20"/>
              </w:rPr>
              <w:t>veći za 2</w:t>
            </w:r>
            <w:r w:rsidR="005675EB" w:rsidRPr="009E0336">
              <w:rPr>
                <w:rFonts w:ascii="Times New Roman" w:hAnsi="Times New Roman" w:cs="Times New Roman"/>
                <w:iCs/>
                <w:sz w:val="20"/>
                <w:szCs w:val="20"/>
              </w:rPr>
              <w:t xml:space="preserve"> % u odnosu na 202</w:t>
            </w:r>
            <w:r w:rsidR="00F8016C" w:rsidRPr="009E0336">
              <w:rPr>
                <w:rFonts w:ascii="Times New Roman" w:hAnsi="Times New Roman" w:cs="Times New Roman"/>
                <w:iCs/>
                <w:sz w:val="20"/>
                <w:szCs w:val="20"/>
              </w:rPr>
              <w:t>5</w:t>
            </w:r>
            <w:r w:rsidR="005675EB" w:rsidRPr="009E0336">
              <w:rPr>
                <w:rFonts w:ascii="Times New Roman" w:hAnsi="Times New Roman" w:cs="Times New Roman"/>
                <w:iCs/>
                <w:sz w:val="20"/>
                <w:szCs w:val="20"/>
              </w:rPr>
              <w:t xml:space="preserve">.g.) i financijski rashodi u iznosu od 16.000,00 € (manji za </w:t>
            </w:r>
            <w:r w:rsidR="00F8016C" w:rsidRPr="009E0336">
              <w:rPr>
                <w:rFonts w:ascii="Times New Roman" w:hAnsi="Times New Roman" w:cs="Times New Roman"/>
                <w:iCs/>
                <w:sz w:val="20"/>
                <w:szCs w:val="20"/>
              </w:rPr>
              <w:t>38,5</w:t>
            </w:r>
            <w:r w:rsidR="005675EB" w:rsidRPr="009E0336">
              <w:rPr>
                <w:rFonts w:ascii="Times New Roman" w:hAnsi="Times New Roman" w:cs="Times New Roman"/>
                <w:iCs/>
                <w:sz w:val="20"/>
                <w:szCs w:val="20"/>
              </w:rPr>
              <w:t xml:space="preserve"> % u odnosu na 202</w:t>
            </w:r>
            <w:r w:rsidR="00F8016C" w:rsidRPr="009E0336">
              <w:rPr>
                <w:rFonts w:ascii="Times New Roman" w:hAnsi="Times New Roman" w:cs="Times New Roman"/>
                <w:iCs/>
                <w:sz w:val="20"/>
                <w:szCs w:val="20"/>
              </w:rPr>
              <w:t>5</w:t>
            </w:r>
            <w:r w:rsidR="005675EB" w:rsidRPr="009E0336">
              <w:rPr>
                <w:rFonts w:ascii="Times New Roman" w:hAnsi="Times New Roman" w:cs="Times New Roman"/>
                <w:iCs/>
                <w:sz w:val="20"/>
                <w:szCs w:val="20"/>
              </w:rPr>
              <w:t>.g.).</w:t>
            </w:r>
          </w:p>
          <w:p w14:paraId="526CF0A6" w14:textId="054A5D50" w:rsidR="00FA6BF1" w:rsidRPr="009E0336" w:rsidRDefault="00091387" w:rsidP="00C97AA2">
            <w:pPr>
              <w:spacing w:line="240" w:lineRule="auto"/>
              <w:jc w:val="both"/>
              <w:rPr>
                <w:rFonts w:ascii="Times New Roman" w:hAnsi="Times New Roman" w:cs="Times New Roman"/>
                <w:iCs/>
                <w:sz w:val="20"/>
                <w:szCs w:val="20"/>
              </w:rPr>
            </w:pPr>
            <w:r w:rsidRPr="009E0336">
              <w:rPr>
                <w:rFonts w:ascii="Times New Roman" w:hAnsi="Times New Roman" w:cs="Times New Roman"/>
                <w:iCs/>
                <w:sz w:val="20"/>
                <w:szCs w:val="20"/>
              </w:rPr>
              <w:t>U 202</w:t>
            </w:r>
            <w:r w:rsidR="00016EFD" w:rsidRPr="009E0336">
              <w:rPr>
                <w:rFonts w:ascii="Times New Roman" w:hAnsi="Times New Roman" w:cs="Times New Roman"/>
                <w:iCs/>
                <w:sz w:val="20"/>
                <w:szCs w:val="20"/>
              </w:rPr>
              <w:t>7</w:t>
            </w:r>
            <w:r w:rsidRPr="009E0336">
              <w:rPr>
                <w:rFonts w:ascii="Times New Roman" w:hAnsi="Times New Roman" w:cs="Times New Roman"/>
                <w:iCs/>
                <w:sz w:val="20"/>
                <w:szCs w:val="20"/>
              </w:rPr>
              <w:t xml:space="preserve">. godini ova aktivnost će se financirati iz istih izvora prihoda koji su za </w:t>
            </w:r>
            <w:r w:rsidR="00016EFD" w:rsidRPr="009E0336">
              <w:rPr>
                <w:rFonts w:ascii="Times New Roman" w:hAnsi="Times New Roman" w:cs="Times New Roman"/>
                <w:iCs/>
                <w:sz w:val="20"/>
                <w:szCs w:val="20"/>
              </w:rPr>
              <w:t>2,2</w:t>
            </w:r>
            <w:r w:rsidRPr="009E0336">
              <w:rPr>
                <w:rFonts w:ascii="Times New Roman" w:hAnsi="Times New Roman" w:cs="Times New Roman"/>
                <w:iCs/>
                <w:sz w:val="20"/>
                <w:szCs w:val="20"/>
              </w:rPr>
              <w:t xml:space="preserve"> % veći od plana za 202</w:t>
            </w:r>
            <w:r w:rsidR="00016EFD" w:rsidRPr="009E0336">
              <w:rPr>
                <w:rFonts w:ascii="Times New Roman" w:hAnsi="Times New Roman" w:cs="Times New Roman"/>
                <w:iCs/>
                <w:sz w:val="20"/>
                <w:szCs w:val="20"/>
              </w:rPr>
              <w:t>6</w:t>
            </w:r>
            <w:r w:rsidRPr="009E0336">
              <w:rPr>
                <w:rFonts w:ascii="Times New Roman" w:hAnsi="Times New Roman" w:cs="Times New Roman"/>
                <w:iCs/>
                <w:sz w:val="20"/>
                <w:szCs w:val="20"/>
              </w:rPr>
              <w:t>. godinu. Prihod</w:t>
            </w:r>
            <w:r w:rsidR="00B10E5E" w:rsidRPr="009E0336">
              <w:rPr>
                <w:rFonts w:ascii="Times New Roman" w:hAnsi="Times New Roman" w:cs="Times New Roman"/>
                <w:iCs/>
                <w:sz w:val="20"/>
                <w:szCs w:val="20"/>
              </w:rPr>
              <w:t>i</w:t>
            </w:r>
            <w:r w:rsidRPr="009E0336">
              <w:rPr>
                <w:rFonts w:ascii="Times New Roman" w:hAnsi="Times New Roman" w:cs="Times New Roman"/>
                <w:iCs/>
                <w:sz w:val="20"/>
                <w:szCs w:val="20"/>
              </w:rPr>
              <w:t xml:space="preserve"> </w:t>
            </w:r>
            <w:r w:rsidR="00B10E5E" w:rsidRPr="009E0336">
              <w:rPr>
                <w:rFonts w:ascii="Times New Roman" w:hAnsi="Times New Roman" w:cs="Times New Roman"/>
                <w:iCs/>
                <w:sz w:val="20"/>
                <w:szCs w:val="20"/>
              </w:rPr>
              <w:t xml:space="preserve">iz proračuna SDŽ veći su za </w:t>
            </w:r>
            <w:r w:rsidR="00016EFD" w:rsidRPr="009E0336">
              <w:rPr>
                <w:rFonts w:ascii="Times New Roman" w:hAnsi="Times New Roman" w:cs="Times New Roman"/>
                <w:iCs/>
                <w:sz w:val="20"/>
                <w:szCs w:val="20"/>
              </w:rPr>
              <w:t>5</w:t>
            </w:r>
            <w:r w:rsidR="00B10E5E" w:rsidRPr="009E0336">
              <w:rPr>
                <w:rFonts w:ascii="Times New Roman" w:hAnsi="Times New Roman" w:cs="Times New Roman"/>
                <w:iCs/>
                <w:sz w:val="20"/>
                <w:szCs w:val="20"/>
              </w:rPr>
              <w:t xml:space="preserve"> %, vlastiti prihodi veći su za </w:t>
            </w:r>
            <w:r w:rsidR="00016EFD" w:rsidRPr="009E0336">
              <w:rPr>
                <w:rFonts w:ascii="Times New Roman" w:hAnsi="Times New Roman" w:cs="Times New Roman"/>
                <w:iCs/>
                <w:sz w:val="20"/>
                <w:szCs w:val="20"/>
              </w:rPr>
              <w:t>3,4</w:t>
            </w:r>
            <w:r w:rsidR="00B10E5E" w:rsidRPr="009E0336">
              <w:rPr>
                <w:rFonts w:ascii="Times New Roman" w:hAnsi="Times New Roman" w:cs="Times New Roman"/>
                <w:iCs/>
                <w:sz w:val="20"/>
                <w:szCs w:val="20"/>
              </w:rPr>
              <w:t xml:space="preserve"> %</w:t>
            </w:r>
            <w:r w:rsidR="00016EFD" w:rsidRPr="009E0336">
              <w:rPr>
                <w:rFonts w:ascii="Times New Roman" w:hAnsi="Times New Roman" w:cs="Times New Roman"/>
                <w:iCs/>
                <w:sz w:val="20"/>
                <w:szCs w:val="20"/>
              </w:rPr>
              <w:t xml:space="preserve"> te </w:t>
            </w:r>
            <w:r w:rsidR="004432C6" w:rsidRPr="009E0336">
              <w:rPr>
                <w:rFonts w:ascii="Times New Roman" w:hAnsi="Times New Roman" w:cs="Times New Roman"/>
                <w:iCs/>
                <w:sz w:val="20"/>
                <w:szCs w:val="20"/>
              </w:rPr>
              <w:t xml:space="preserve">prihodi </w:t>
            </w:r>
            <w:r w:rsidRPr="009E0336">
              <w:rPr>
                <w:rFonts w:ascii="Times New Roman" w:hAnsi="Times New Roman" w:cs="Times New Roman"/>
                <w:iCs/>
                <w:sz w:val="20"/>
                <w:szCs w:val="20"/>
              </w:rPr>
              <w:t xml:space="preserve">od HZZO-a veći </w:t>
            </w:r>
            <w:r w:rsidR="004432C6" w:rsidRPr="009E0336">
              <w:rPr>
                <w:rFonts w:ascii="Times New Roman" w:hAnsi="Times New Roman" w:cs="Times New Roman"/>
                <w:iCs/>
                <w:sz w:val="20"/>
                <w:szCs w:val="20"/>
              </w:rPr>
              <w:t>su</w:t>
            </w:r>
            <w:r w:rsidRPr="009E0336">
              <w:rPr>
                <w:rFonts w:ascii="Times New Roman" w:hAnsi="Times New Roman" w:cs="Times New Roman"/>
                <w:iCs/>
                <w:sz w:val="20"/>
                <w:szCs w:val="20"/>
              </w:rPr>
              <w:t xml:space="preserve"> za </w:t>
            </w:r>
            <w:r w:rsidR="00016EFD" w:rsidRPr="009E0336">
              <w:rPr>
                <w:rFonts w:ascii="Times New Roman" w:hAnsi="Times New Roman" w:cs="Times New Roman"/>
                <w:iCs/>
                <w:sz w:val="20"/>
                <w:szCs w:val="20"/>
              </w:rPr>
              <w:t>2,1</w:t>
            </w:r>
            <w:r w:rsidRPr="009E0336">
              <w:rPr>
                <w:rFonts w:ascii="Times New Roman" w:hAnsi="Times New Roman" w:cs="Times New Roman"/>
                <w:iCs/>
                <w:sz w:val="20"/>
                <w:szCs w:val="20"/>
              </w:rPr>
              <w:t xml:space="preserve"> %</w:t>
            </w:r>
            <w:r w:rsidR="00016EFD" w:rsidRPr="009E0336">
              <w:rPr>
                <w:rFonts w:ascii="Times New Roman" w:hAnsi="Times New Roman" w:cs="Times New Roman"/>
                <w:iCs/>
                <w:sz w:val="20"/>
                <w:szCs w:val="20"/>
              </w:rPr>
              <w:t>.</w:t>
            </w:r>
            <w:r w:rsidRPr="009E0336">
              <w:rPr>
                <w:rFonts w:ascii="Times New Roman" w:hAnsi="Times New Roman" w:cs="Times New Roman"/>
                <w:iCs/>
                <w:sz w:val="20"/>
                <w:szCs w:val="20"/>
              </w:rPr>
              <w:t xml:space="preserve"> Shodno prihodima planiraju se rashodi za zaposlene u iznosu od </w:t>
            </w:r>
            <w:r w:rsidR="00016EFD" w:rsidRPr="009E0336">
              <w:rPr>
                <w:rFonts w:ascii="Times New Roman" w:hAnsi="Times New Roman" w:cs="Times New Roman"/>
                <w:iCs/>
                <w:sz w:val="20"/>
                <w:szCs w:val="20"/>
              </w:rPr>
              <w:t>26.206.000,00</w:t>
            </w:r>
            <w:r w:rsidRPr="009E0336">
              <w:rPr>
                <w:rFonts w:ascii="Times New Roman" w:hAnsi="Times New Roman" w:cs="Times New Roman"/>
                <w:iCs/>
                <w:sz w:val="20"/>
                <w:szCs w:val="20"/>
              </w:rPr>
              <w:t xml:space="preserve"> € (veći  za </w:t>
            </w:r>
            <w:r w:rsidR="00016EFD" w:rsidRPr="009E0336">
              <w:rPr>
                <w:rFonts w:ascii="Times New Roman" w:hAnsi="Times New Roman" w:cs="Times New Roman"/>
                <w:iCs/>
                <w:sz w:val="20"/>
                <w:szCs w:val="20"/>
              </w:rPr>
              <w:t>2,1</w:t>
            </w:r>
            <w:r w:rsidRPr="009E0336">
              <w:rPr>
                <w:rFonts w:ascii="Times New Roman" w:hAnsi="Times New Roman" w:cs="Times New Roman"/>
                <w:iCs/>
                <w:sz w:val="20"/>
                <w:szCs w:val="20"/>
              </w:rPr>
              <w:t xml:space="preserve"> % u odnosu na 202</w:t>
            </w:r>
            <w:r w:rsidR="00016EFD" w:rsidRPr="009E0336">
              <w:rPr>
                <w:rFonts w:ascii="Times New Roman" w:hAnsi="Times New Roman" w:cs="Times New Roman"/>
                <w:iCs/>
                <w:sz w:val="20"/>
                <w:szCs w:val="20"/>
              </w:rPr>
              <w:t>6</w:t>
            </w:r>
            <w:r w:rsidRPr="009E0336">
              <w:rPr>
                <w:rFonts w:ascii="Times New Roman" w:hAnsi="Times New Roman" w:cs="Times New Roman"/>
                <w:iCs/>
                <w:sz w:val="20"/>
                <w:szCs w:val="20"/>
              </w:rPr>
              <w:t>.g.), materijalni rashodi u iznosu od 3.</w:t>
            </w:r>
            <w:r w:rsidR="00016EFD" w:rsidRPr="009E0336">
              <w:rPr>
                <w:rFonts w:ascii="Times New Roman" w:hAnsi="Times New Roman" w:cs="Times New Roman"/>
                <w:iCs/>
                <w:sz w:val="20"/>
                <w:szCs w:val="20"/>
              </w:rPr>
              <w:t>376.0</w:t>
            </w:r>
            <w:r w:rsidR="004432C6" w:rsidRPr="009E0336">
              <w:rPr>
                <w:rFonts w:ascii="Times New Roman" w:hAnsi="Times New Roman" w:cs="Times New Roman"/>
                <w:iCs/>
                <w:sz w:val="20"/>
                <w:szCs w:val="20"/>
              </w:rPr>
              <w:t>00,00</w:t>
            </w:r>
            <w:r w:rsidRPr="009E0336">
              <w:rPr>
                <w:rFonts w:ascii="Times New Roman" w:hAnsi="Times New Roman" w:cs="Times New Roman"/>
                <w:iCs/>
                <w:sz w:val="20"/>
                <w:szCs w:val="20"/>
              </w:rPr>
              <w:t xml:space="preserve"> € (veći za </w:t>
            </w:r>
            <w:r w:rsidR="00016EFD" w:rsidRPr="009E0336">
              <w:rPr>
                <w:rFonts w:ascii="Times New Roman" w:hAnsi="Times New Roman" w:cs="Times New Roman"/>
                <w:iCs/>
                <w:sz w:val="20"/>
                <w:szCs w:val="20"/>
              </w:rPr>
              <w:t xml:space="preserve">3,1 </w:t>
            </w:r>
            <w:r w:rsidRPr="009E0336">
              <w:rPr>
                <w:rFonts w:ascii="Times New Roman" w:hAnsi="Times New Roman" w:cs="Times New Roman"/>
                <w:iCs/>
                <w:sz w:val="20"/>
                <w:szCs w:val="20"/>
              </w:rPr>
              <w:t>% u odnosu na 202</w:t>
            </w:r>
            <w:r w:rsidR="00016EFD" w:rsidRPr="009E0336">
              <w:rPr>
                <w:rFonts w:ascii="Times New Roman" w:hAnsi="Times New Roman" w:cs="Times New Roman"/>
                <w:iCs/>
                <w:sz w:val="20"/>
                <w:szCs w:val="20"/>
              </w:rPr>
              <w:t>6</w:t>
            </w:r>
            <w:r w:rsidRPr="009E0336">
              <w:rPr>
                <w:rFonts w:ascii="Times New Roman" w:hAnsi="Times New Roman" w:cs="Times New Roman"/>
                <w:iCs/>
                <w:sz w:val="20"/>
                <w:szCs w:val="20"/>
              </w:rPr>
              <w:t xml:space="preserve">.g.) i financijski rashodi u iznosu od </w:t>
            </w:r>
            <w:r w:rsidR="00016EFD" w:rsidRPr="009E0336">
              <w:rPr>
                <w:rFonts w:ascii="Times New Roman" w:hAnsi="Times New Roman" w:cs="Times New Roman"/>
                <w:iCs/>
                <w:sz w:val="20"/>
                <w:szCs w:val="20"/>
              </w:rPr>
              <w:t>17.000</w:t>
            </w:r>
            <w:r w:rsidR="004432C6" w:rsidRPr="009E0336">
              <w:rPr>
                <w:rFonts w:ascii="Times New Roman" w:hAnsi="Times New Roman" w:cs="Times New Roman"/>
                <w:iCs/>
                <w:sz w:val="20"/>
                <w:szCs w:val="20"/>
              </w:rPr>
              <w:t>,00</w:t>
            </w:r>
            <w:r w:rsidRPr="009E0336">
              <w:rPr>
                <w:rFonts w:ascii="Times New Roman" w:hAnsi="Times New Roman" w:cs="Times New Roman"/>
                <w:iCs/>
                <w:sz w:val="20"/>
                <w:szCs w:val="20"/>
              </w:rPr>
              <w:t xml:space="preserve"> € (</w:t>
            </w:r>
            <w:r w:rsidR="004432C6" w:rsidRPr="009E0336">
              <w:rPr>
                <w:rFonts w:ascii="Times New Roman" w:hAnsi="Times New Roman" w:cs="Times New Roman"/>
                <w:iCs/>
                <w:sz w:val="20"/>
                <w:szCs w:val="20"/>
              </w:rPr>
              <w:t xml:space="preserve">veći za </w:t>
            </w:r>
            <w:r w:rsidR="00016EFD" w:rsidRPr="009E0336">
              <w:rPr>
                <w:rFonts w:ascii="Times New Roman" w:hAnsi="Times New Roman" w:cs="Times New Roman"/>
                <w:iCs/>
                <w:sz w:val="20"/>
                <w:szCs w:val="20"/>
              </w:rPr>
              <w:t>6,3</w:t>
            </w:r>
            <w:r w:rsidRPr="009E0336">
              <w:rPr>
                <w:rFonts w:ascii="Times New Roman" w:hAnsi="Times New Roman" w:cs="Times New Roman"/>
                <w:iCs/>
                <w:sz w:val="20"/>
                <w:szCs w:val="20"/>
              </w:rPr>
              <w:t xml:space="preserve"> % u odnosu na 202</w:t>
            </w:r>
            <w:r w:rsidR="00016EFD" w:rsidRPr="009E0336">
              <w:rPr>
                <w:rFonts w:ascii="Times New Roman" w:hAnsi="Times New Roman" w:cs="Times New Roman"/>
                <w:iCs/>
                <w:sz w:val="20"/>
                <w:szCs w:val="20"/>
              </w:rPr>
              <w:t>6</w:t>
            </w:r>
            <w:r w:rsidRPr="009E0336">
              <w:rPr>
                <w:rFonts w:ascii="Times New Roman" w:hAnsi="Times New Roman" w:cs="Times New Roman"/>
                <w:iCs/>
                <w:sz w:val="20"/>
                <w:szCs w:val="20"/>
              </w:rPr>
              <w:t>.g.).</w:t>
            </w:r>
          </w:p>
        </w:tc>
      </w:tr>
      <w:tr w:rsidR="00FA6BF1" w:rsidRPr="009E0336" w14:paraId="31BF8DEB" w14:textId="77777777" w:rsidTr="003F705E">
        <w:trPr>
          <w:trHeight w:val="257"/>
        </w:trPr>
        <w:tc>
          <w:tcPr>
            <w:tcW w:w="9742" w:type="dxa"/>
            <w:gridSpan w:val="8"/>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tbl>
            <w:tblPr>
              <w:tblW w:w="9645" w:type="dxa"/>
              <w:tblLayout w:type="fixed"/>
              <w:tblCellMar>
                <w:left w:w="10" w:type="dxa"/>
                <w:right w:w="10" w:type="dxa"/>
              </w:tblCellMar>
              <w:tblLook w:val="04A0" w:firstRow="1" w:lastRow="0" w:firstColumn="1" w:lastColumn="0" w:noHBand="0" w:noVBand="1"/>
            </w:tblPr>
            <w:tblGrid>
              <w:gridCol w:w="1696"/>
              <w:gridCol w:w="1560"/>
              <w:gridCol w:w="1559"/>
              <w:gridCol w:w="1559"/>
              <w:gridCol w:w="1570"/>
              <w:gridCol w:w="1701"/>
            </w:tblGrid>
            <w:tr w:rsidR="00820E7E" w:rsidRPr="009E0336" w14:paraId="0CD5E0B5" w14:textId="77777777" w:rsidTr="00487224">
              <w:trPr>
                <w:trHeight w:val="219"/>
              </w:trPr>
              <w:tc>
                <w:tcPr>
                  <w:tcW w:w="1696"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490F5D1A" w14:textId="62DC567F" w:rsidR="00820E7E" w:rsidRPr="009E0336" w:rsidRDefault="00820E7E" w:rsidP="00820E7E">
                  <w:pPr>
                    <w:pStyle w:val="Standard"/>
                    <w:jc w:val="center"/>
                    <w:rPr>
                      <w:sz w:val="20"/>
                      <w:szCs w:val="20"/>
                    </w:rPr>
                  </w:pPr>
                  <w:r w:rsidRPr="009E0336">
                    <w:rPr>
                      <w:b/>
                      <w:bCs/>
                      <w:color w:val="000000"/>
                      <w:sz w:val="20"/>
                      <w:szCs w:val="20"/>
                    </w:rPr>
                    <w:t>Izvršeno 202</w:t>
                  </w:r>
                  <w:r w:rsidR="00041C62" w:rsidRPr="009E0336">
                    <w:rPr>
                      <w:b/>
                      <w:bCs/>
                      <w:color w:val="000000"/>
                      <w:sz w:val="20"/>
                      <w:szCs w:val="20"/>
                    </w:rPr>
                    <w:t>3</w:t>
                  </w:r>
                  <w:r w:rsidRPr="009E0336">
                    <w:rPr>
                      <w:b/>
                      <w:bCs/>
                      <w:color w:val="000000"/>
                      <w:sz w:val="20"/>
                      <w:szCs w:val="20"/>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D737E2B" w14:textId="6F15DAB9" w:rsidR="00820E7E" w:rsidRPr="009E0336" w:rsidRDefault="00820E7E" w:rsidP="00820E7E">
                  <w:pPr>
                    <w:pStyle w:val="Standard"/>
                    <w:jc w:val="center"/>
                    <w:rPr>
                      <w:sz w:val="20"/>
                      <w:szCs w:val="20"/>
                    </w:rPr>
                  </w:pPr>
                  <w:r w:rsidRPr="009E0336">
                    <w:rPr>
                      <w:b/>
                      <w:bCs/>
                      <w:color w:val="000000"/>
                      <w:sz w:val="20"/>
                      <w:szCs w:val="20"/>
                    </w:rPr>
                    <w:t>Financijski plan 202</w:t>
                  </w:r>
                  <w:r w:rsidR="00041C62" w:rsidRPr="009E0336">
                    <w:rPr>
                      <w:b/>
                      <w:bCs/>
                      <w:color w:val="000000"/>
                      <w:sz w:val="20"/>
                      <w:szCs w:val="20"/>
                    </w:rPr>
                    <w:t>4</w:t>
                  </w:r>
                  <w:r w:rsidRPr="009E0336">
                    <w:rPr>
                      <w:b/>
                      <w:bCs/>
                      <w:color w:val="000000"/>
                      <w:sz w:val="20"/>
                      <w:szCs w:val="20"/>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2BC1BA8" w14:textId="14B072B0" w:rsidR="00820E7E" w:rsidRPr="009E0336" w:rsidRDefault="00820E7E" w:rsidP="00820E7E">
                  <w:pPr>
                    <w:pStyle w:val="Standard"/>
                    <w:jc w:val="center"/>
                    <w:rPr>
                      <w:sz w:val="20"/>
                      <w:szCs w:val="20"/>
                    </w:rPr>
                  </w:pPr>
                  <w:r w:rsidRPr="009E0336">
                    <w:rPr>
                      <w:b/>
                      <w:bCs/>
                      <w:color w:val="000000"/>
                      <w:sz w:val="20"/>
                      <w:szCs w:val="20"/>
                    </w:rPr>
                    <w:t>I. Rebalans 202</w:t>
                  </w:r>
                  <w:r w:rsidR="00041C62" w:rsidRPr="009E0336">
                    <w:rPr>
                      <w:b/>
                      <w:bCs/>
                      <w:color w:val="000000"/>
                      <w:sz w:val="20"/>
                      <w:szCs w:val="20"/>
                    </w:rPr>
                    <w:t>4</w:t>
                  </w:r>
                  <w:r w:rsidR="00704F6C" w:rsidRPr="009E0336">
                    <w:rPr>
                      <w:b/>
                      <w:bCs/>
                      <w:color w:val="000000"/>
                      <w:sz w:val="20"/>
                      <w:szCs w:val="20"/>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57D9C08" w14:textId="3A862AD6" w:rsidR="00820E7E" w:rsidRPr="009E0336" w:rsidRDefault="00820E7E" w:rsidP="00820E7E">
                  <w:pPr>
                    <w:pStyle w:val="Standard"/>
                    <w:jc w:val="center"/>
                    <w:rPr>
                      <w:sz w:val="20"/>
                      <w:szCs w:val="20"/>
                    </w:rPr>
                  </w:pPr>
                  <w:r w:rsidRPr="009E0336">
                    <w:rPr>
                      <w:b/>
                      <w:bCs/>
                      <w:color w:val="000000"/>
                      <w:sz w:val="20"/>
                      <w:szCs w:val="20"/>
                    </w:rPr>
                    <w:t>Plan 202</w:t>
                  </w:r>
                  <w:r w:rsidR="00041C62" w:rsidRPr="009E0336">
                    <w:rPr>
                      <w:b/>
                      <w:bCs/>
                      <w:color w:val="000000"/>
                      <w:sz w:val="20"/>
                      <w:szCs w:val="20"/>
                    </w:rPr>
                    <w:t>5</w:t>
                  </w:r>
                  <w:r w:rsidRPr="009E0336">
                    <w:rPr>
                      <w:b/>
                      <w:bCs/>
                      <w:color w:val="000000"/>
                      <w:sz w:val="20"/>
                      <w:szCs w:val="20"/>
                    </w:rPr>
                    <w:t>.</w:t>
                  </w:r>
                </w:p>
              </w:tc>
              <w:tc>
                <w:tcPr>
                  <w:tcW w:w="157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ED78187" w14:textId="7C89F4F8" w:rsidR="00820E7E" w:rsidRPr="009E0336" w:rsidRDefault="00820E7E" w:rsidP="00820E7E">
                  <w:pPr>
                    <w:pStyle w:val="Standard"/>
                    <w:jc w:val="center"/>
                    <w:rPr>
                      <w:sz w:val="20"/>
                      <w:szCs w:val="20"/>
                    </w:rPr>
                  </w:pPr>
                  <w:r w:rsidRPr="009E0336">
                    <w:rPr>
                      <w:b/>
                      <w:bCs/>
                      <w:color w:val="000000"/>
                      <w:sz w:val="20"/>
                      <w:szCs w:val="20"/>
                    </w:rPr>
                    <w:t>Projekcija 202</w:t>
                  </w:r>
                  <w:r w:rsidR="00041C62" w:rsidRPr="009E0336">
                    <w:rPr>
                      <w:b/>
                      <w:bCs/>
                      <w:color w:val="000000"/>
                      <w:sz w:val="20"/>
                      <w:szCs w:val="20"/>
                    </w:rPr>
                    <w:t>6</w:t>
                  </w:r>
                  <w:r w:rsidRPr="009E0336">
                    <w:rPr>
                      <w:b/>
                      <w:bCs/>
                      <w:color w:val="000000"/>
                      <w:sz w:val="20"/>
                      <w:szCs w:val="20"/>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C90DF5D" w14:textId="1AFF5700" w:rsidR="00820E7E" w:rsidRPr="009E0336" w:rsidRDefault="00820E7E" w:rsidP="00820E7E">
                  <w:pPr>
                    <w:pStyle w:val="Standard"/>
                    <w:jc w:val="center"/>
                    <w:rPr>
                      <w:sz w:val="20"/>
                      <w:szCs w:val="20"/>
                    </w:rPr>
                  </w:pPr>
                  <w:r w:rsidRPr="009E0336">
                    <w:rPr>
                      <w:b/>
                      <w:bCs/>
                      <w:color w:val="000000"/>
                      <w:sz w:val="20"/>
                      <w:szCs w:val="20"/>
                    </w:rPr>
                    <w:t>Projekcija 202</w:t>
                  </w:r>
                  <w:r w:rsidR="00041C62" w:rsidRPr="009E0336">
                    <w:rPr>
                      <w:b/>
                      <w:bCs/>
                      <w:color w:val="000000"/>
                      <w:sz w:val="20"/>
                      <w:szCs w:val="20"/>
                    </w:rPr>
                    <w:t>7</w:t>
                  </w:r>
                  <w:r w:rsidRPr="009E0336">
                    <w:rPr>
                      <w:b/>
                      <w:bCs/>
                      <w:color w:val="000000"/>
                      <w:sz w:val="20"/>
                      <w:szCs w:val="20"/>
                    </w:rPr>
                    <w:t>.</w:t>
                  </w:r>
                </w:p>
              </w:tc>
            </w:tr>
            <w:tr w:rsidR="00820E7E" w:rsidRPr="009E0336" w14:paraId="64696E47" w14:textId="77777777" w:rsidTr="00487224">
              <w:trPr>
                <w:trHeight w:val="722"/>
              </w:trPr>
              <w:tc>
                <w:tcPr>
                  <w:tcW w:w="169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1A4537" w14:textId="456CC499" w:rsidR="00820E7E" w:rsidRPr="009E0336" w:rsidRDefault="000522F4" w:rsidP="00820E7E">
                  <w:pPr>
                    <w:pStyle w:val="Standard"/>
                    <w:jc w:val="right"/>
                    <w:rPr>
                      <w:b/>
                      <w:bCs/>
                      <w:sz w:val="20"/>
                      <w:szCs w:val="20"/>
                    </w:rPr>
                  </w:pPr>
                  <w:r w:rsidRPr="009E0336">
                    <w:rPr>
                      <w:b/>
                      <w:bCs/>
                      <w:sz w:val="20"/>
                      <w:szCs w:val="20"/>
                    </w:rPr>
                    <w:t>17.992.992,87 €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DE1110" w14:textId="4480CC86" w:rsidR="00820E7E" w:rsidRPr="009E0336" w:rsidRDefault="00704F6C" w:rsidP="00487224">
                  <w:pPr>
                    <w:pStyle w:val="Standard"/>
                    <w:rPr>
                      <w:b/>
                      <w:bCs/>
                      <w:sz w:val="20"/>
                      <w:szCs w:val="20"/>
                    </w:rPr>
                  </w:pPr>
                  <w:r w:rsidRPr="009E0336">
                    <w:rPr>
                      <w:b/>
                      <w:bCs/>
                      <w:sz w:val="20"/>
                      <w:szCs w:val="20"/>
                    </w:rPr>
                    <w:t>20.069.600,00 €</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419AF5" w14:textId="3430D208" w:rsidR="00820E7E" w:rsidRPr="009E0336" w:rsidRDefault="00016EFD" w:rsidP="00820E7E">
                  <w:pPr>
                    <w:pStyle w:val="Standard"/>
                    <w:jc w:val="right"/>
                    <w:rPr>
                      <w:b/>
                      <w:bCs/>
                      <w:sz w:val="20"/>
                      <w:szCs w:val="20"/>
                    </w:rPr>
                  </w:pPr>
                  <w:r w:rsidRPr="009E0336">
                    <w:rPr>
                      <w:b/>
                      <w:bCs/>
                      <w:sz w:val="20"/>
                      <w:szCs w:val="20"/>
                    </w:rPr>
                    <w:t>27.650.531,00 €</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E2847D" w14:textId="6FD032CE" w:rsidR="00820E7E" w:rsidRPr="009E0336" w:rsidRDefault="00016EFD" w:rsidP="00820E7E">
                  <w:pPr>
                    <w:pStyle w:val="Standard"/>
                    <w:jc w:val="right"/>
                    <w:rPr>
                      <w:b/>
                      <w:bCs/>
                      <w:sz w:val="20"/>
                      <w:szCs w:val="20"/>
                    </w:rPr>
                  </w:pPr>
                  <w:r w:rsidRPr="009E0336">
                    <w:rPr>
                      <w:b/>
                      <w:bCs/>
                      <w:sz w:val="20"/>
                      <w:szCs w:val="20"/>
                    </w:rPr>
                    <w:t>28.438.000,00 €</w:t>
                  </w:r>
                </w:p>
              </w:tc>
              <w:tc>
                <w:tcPr>
                  <w:tcW w:w="1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01A74C" w14:textId="0F62DD68" w:rsidR="00820E7E" w:rsidRPr="009E0336" w:rsidRDefault="00016EFD" w:rsidP="00820E7E">
                  <w:pPr>
                    <w:pStyle w:val="Standard"/>
                    <w:jc w:val="right"/>
                    <w:rPr>
                      <w:b/>
                      <w:bCs/>
                      <w:sz w:val="20"/>
                      <w:szCs w:val="20"/>
                    </w:rPr>
                  </w:pPr>
                  <w:r w:rsidRPr="009E0336">
                    <w:rPr>
                      <w:b/>
                      <w:bCs/>
                      <w:sz w:val="20"/>
                      <w:szCs w:val="20"/>
                    </w:rPr>
                    <w:t>28.965.000,00 €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7BDA11" w14:textId="623867F8" w:rsidR="00820E7E" w:rsidRPr="009E0336" w:rsidRDefault="00016EFD" w:rsidP="00820E7E">
                  <w:pPr>
                    <w:pStyle w:val="Standard"/>
                    <w:jc w:val="right"/>
                    <w:rPr>
                      <w:b/>
                      <w:bCs/>
                      <w:sz w:val="20"/>
                      <w:szCs w:val="20"/>
                    </w:rPr>
                  </w:pPr>
                  <w:r w:rsidRPr="009E0336">
                    <w:rPr>
                      <w:b/>
                      <w:bCs/>
                      <w:sz w:val="20"/>
                      <w:szCs w:val="20"/>
                    </w:rPr>
                    <w:t>29.599.000,00 €</w:t>
                  </w:r>
                </w:p>
              </w:tc>
            </w:tr>
          </w:tbl>
          <w:p w14:paraId="3BB88B2A" w14:textId="77777777" w:rsidR="00FA6BF1" w:rsidRPr="009E0336" w:rsidRDefault="00FA6BF1">
            <w:pPr>
              <w:pStyle w:val="Standard"/>
              <w:rPr>
                <w:bCs/>
                <w:color w:val="000000"/>
                <w:sz w:val="20"/>
                <w:szCs w:val="20"/>
              </w:rPr>
            </w:pPr>
          </w:p>
        </w:tc>
      </w:tr>
      <w:tr w:rsidR="00FA6BF1" w:rsidRPr="009E0336" w14:paraId="19DD30F8" w14:textId="77777777" w:rsidTr="00702A1E">
        <w:trPr>
          <w:trHeight w:val="257"/>
        </w:trPr>
        <w:tc>
          <w:tcPr>
            <w:tcW w:w="12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CB44B09" w14:textId="134FE62A" w:rsidR="00FA6BF1" w:rsidRPr="009E0336" w:rsidRDefault="00091387">
            <w:pPr>
              <w:pStyle w:val="Standard"/>
              <w:rPr>
                <w:sz w:val="20"/>
                <w:szCs w:val="20"/>
              </w:rPr>
            </w:pPr>
            <w:r w:rsidRPr="009E0336">
              <w:rPr>
                <w:b/>
                <w:color w:val="000000"/>
                <w:sz w:val="20"/>
                <w:szCs w:val="20"/>
              </w:rPr>
              <w:t>Obrazloženja odstupanja od projekcija za 202</w:t>
            </w:r>
            <w:r w:rsidR="00414653" w:rsidRPr="009E0336">
              <w:rPr>
                <w:b/>
                <w:color w:val="000000"/>
                <w:sz w:val="20"/>
                <w:szCs w:val="20"/>
              </w:rPr>
              <w:t>5</w:t>
            </w:r>
            <w:r w:rsidRPr="009E0336">
              <w:rPr>
                <w:b/>
                <w:color w:val="000000"/>
                <w:sz w:val="20"/>
                <w:szCs w:val="20"/>
              </w:rPr>
              <w:t>. i 202</w:t>
            </w:r>
            <w:r w:rsidR="00414653" w:rsidRPr="009E0336">
              <w:rPr>
                <w:b/>
                <w:color w:val="000000"/>
                <w:sz w:val="20"/>
                <w:szCs w:val="20"/>
              </w:rPr>
              <w:t>6</w:t>
            </w:r>
            <w:r w:rsidRPr="009E0336">
              <w:rPr>
                <w:b/>
                <w:color w:val="000000"/>
                <w:sz w:val="20"/>
                <w:szCs w:val="20"/>
              </w:rPr>
              <w:t>. usvojenih u prošlogodišnjem Proračunu</w:t>
            </w:r>
          </w:p>
        </w:tc>
        <w:tc>
          <w:tcPr>
            <w:tcW w:w="8528"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AF69DE" w14:textId="77777777" w:rsidR="00FA6BF1" w:rsidRPr="009E0336" w:rsidRDefault="00FA6BF1" w:rsidP="00C97AA2">
            <w:pPr>
              <w:pStyle w:val="Standard"/>
              <w:rPr>
                <w:iCs/>
                <w:sz w:val="20"/>
                <w:szCs w:val="20"/>
              </w:rPr>
            </w:pPr>
          </w:p>
          <w:p w14:paraId="237D3C12" w14:textId="4186B472" w:rsidR="00FA6BF1" w:rsidRPr="009E0336" w:rsidRDefault="00091387" w:rsidP="0019181E">
            <w:pPr>
              <w:pStyle w:val="Standard"/>
              <w:jc w:val="both"/>
              <w:rPr>
                <w:iCs/>
                <w:sz w:val="20"/>
                <w:szCs w:val="20"/>
              </w:rPr>
            </w:pPr>
            <w:r w:rsidRPr="009E0336">
              <w:rPr>
                <w:iCs/>
                <w:sz w:val="20"/>
                <w:szCs w:val="20"/>
              </w:rPr>
              <w:t>U odnosu na prošlogodišnje projekcije ova aktivnost je povećana i to u 202</w:t>
            </w:r>
            <w:r w:rsidR="0019181E" w:rsidRPr="009E0336">
              <w:rPr>
                <w:iCs/>
                <w:sz w:val="20"/>
                <w:szCs w:val="20"/>
              </w:rPr>
              <w:t>5</w:t>
            </w:r>
            <w:r w:rsidRPr="009E0336">
              <w:rPr>
                <w:iCs/>
                <w:sz w:val="20"/>
                <w:szCs w:val="20"/>
              </w:rPr>
              <w:t xml:space="preserve">.g. za </w:t>
            </w:r>
            <w:r w:rsidR="0019181E" w:rsidRPr="009E0336">
              <w:rPr>
                <w:iCs/>
                <w:sz w:val="20"/>
                <w:szCs w:val="20"/>
              </w:rPr>
              <w:t>45</w:t>
            </w:r>
            <w:r w:rsidRPr="009E0336">
              <w:rPr>
                <w:iCs/>
                <w:sz w:val="20"/>
                <w:szCs w:val="20"/>
              </w:rPr>
              <w:t xml:space="preserve"> %, a u 202</w:t>
            </w:r>
            <w:r w:rsidR="0019181E" w:rsidRPr="009E0336">
              <w:rPr>
                <w:iCs/>
                <w:sz w:val="20"/>
                <w:szCs w:val="20"/>
              </w:rPr>
              <w:t>6</w:t>
            </w:r>
            <w:r w:rsidRPr="009E0336">
              <w:rPr>
                <w:iCs/>
                <w:sz w:val="20"/>
                <w:szCs w:val="20"/>
              </w:rPr>
              <w:t xml:space="preserve">.g.  za </w:t>
            </w:r>
            <w:r w:rsidR="0019181E" w:rsidRPr="009E0336">
              <w:rPr>
                <w:iCs/>
                <w:sz w:val="20"/>
                <w:szCs w:val="20"/>
              </w:rPr>
              <w:t>46,8</w:t>
            </w:r>
            <w:r w:rsidRPr="009E0336">
              <w:rPr>
                <w:iCs/>
                <w:sz w:val="20"/>
                <w:szCs w:val="20"/>
              </w:rPr>
              <w:t xml:space="preserve"> %. Razlog povećanj</w:t>
            </w:r>
            <w:r w:rsidR="008E7AB2" w:rsidRPr="009E0336">
              <w:rPr>
                <w:iCs/>
                <w:sz w:val="20"/>
                <w:szCs w:val="20"/>
              </w:rPr>
              <w:t>a</w:t>
            </w:r>
            <w:r w:rsidRPr="009E0336">
              <w:rPr>
                <w:iCs/>
                <w:sz w:val="20"/>
                <w:szCs w:val="20"/>
              </w:rPr>
              <w:t xml:space="preserve"> je u </w:t>
            </w:r>
            <w:r w:rsidR="0019181E" w:rsidRPr="009E0336">
              <w:rPr>
                <w:iCs/>
                <w:sz w:val="20"/>
                <w:szCs w:val="20"/>
              </w:rPr>
              <w:t xml:space="preserve">većem broja timova hitne medicine i sanitetskog prijevoza sukladno novoj Mreži hitne medicine i sanitetskog prijevoza (NN 134/2023), zatim u </w:t>
            </w:r>
            <w:r w:rsidR="00022BCA" w:rsidRPr="009E0336">
              <w:rPr>
                <w:iCs/>
                <w:sz w:val="20"/>
                <w:szCs w:val="20"/>
              </w:rPr>
              <w:t xml:space="preserve">novom načinu obračuna i </w:t>
            </w:r>
            <w:r w:rsidRPr="009E0336">
              <w:rPr>
                <w:iCs/>
                <w:sz w:val="20"/>
                <w:szCs w:val="20"/>
              </w:rPr>
              <w:t>već</w:t>
            </w:r>
            <w:r w:rsidR="0019181E" w:rsidRPr="009E0336">
              <w:rPr>
                <w:iCs/>
                <w:sz w:val="20"/>
                <w:szCs w:val="20"/>
              </w:rPr>
              <w:t>im</w:t>
            </w:r>
            <w:r w:rsidR="00D8325A" w:rsidRPr="009E0336">
              <w:rPr>
                <w:iCs/>
                <w:sz w:val="20"/>
                <w:szCs w:val="20"/>
              </w:rPr>
              <w:t xml:space="preserve"> koeficijentima za obračun plaća</w:t>
            </w:r>
            <w:r w:rsidR="0019181E" w:rsidRPr="009E0336">
              <w:rPr>
                <w:iCs/>
                <w:sz w:val="20"/>
                <w:szCs w:val="20"/>
              </w:rPr>
              <w:t xml:space="preserve"> prema </w:t>
            </w:r>
            <w:r w:rsidR="0019181E" w:rsidRPr="009E0336">
              <w:rPr>
                <w:sz w:val="20"/>
                <w:szCs w:val="20"/>
              </w:rPr>
              <w:t>Uredbi o nazivima radnih mjesta, uvjetima za raspored i koeficijentima za obračun plaće u javnim službama (NN 22/24)</w:t>
            </w:r>
            <w:r w:rsidR="00D8325A" w:rsidRPr="009E0336">
              <w:rPr>
                <w:iCs/>
                <w:sz w:val="20"/>
                <w:szCs w:val="20"/>
              </w:rPr>
              <w:t xml:space="preserve">, </w:t>
            </w:r>
            <w:r w:rsidR="0019181E" w:rsidRPr="009E0336">
              <w:rPr>
                <w:iCs/>
                <w:sz w:val="20"/>
                <w:szCs w:val="20"/>
              </w:rPr>
              <w:t xml:space="preserve">u ukidanju oslobođenja od obveze obračuna doprinosa na plaću za mlade osobe te većeg broja prvostupnika sestrinstva koji su postali specijalisti hitne medicine, </w:t>
            </w:r>
            <w:r w:rsidR="00D8325A" w:rsidRPr="009E0336">
              <w:rPr>
                <w:iCs/>
                <w:sz w:val="20"/>
                <w:szCs w:val="20"/>
              </w:rPr>
              <w:t xml:space="preserve">što je sveukupno </w:t>
            </w:r>
            <w:r w:rsidRPr="009E0336">
              <w:rPr>
                <w:iCs/>
                <w:sz w:val="20"/>
                <w:szCs w:val="20"/>
              </w:rPr>
              <w:t>utjeca</w:t>
            </w:r>
            <w:r w:rsidR="00D8325A" w:rsidRPr="009E0336">
              <w:rPr>
                <w:iCs/>
                <w:sz w:val="20"/>
                <w:szCs w:val="20"/>
              </w:rPr>
              <w:t>l</w:t>
            </w:r>
            <w:r w:rsidRPr="009E0336">
              <w:rPr>
                <w:iCs/>
                <w:sz w:val="20"/>
                <w:szCs w:val="20"/>
              </w:rPr>
              <w:t xml:space="preserve">o na porast rashoda za zaposlene </w:t>
            </w:r>
            <w:r w:rsidR="00D8325A" w:rsidRPr="009E0336">
              <w:rPr>
                <w:iCs/>
                <w:sz w:val="20"/>
                <w:szCs w:val="20"/>
              </w:rPr>
              <w:t>kao i</w:t>
            </w:r>
            <w:r w:rsidRPr="009E0336">
              <w:rPr>
                <w:iCs/>
                <w:sz w:val="20"/>
                <w:szCs w:val="20"/>
              </w:rPr>
              <w:t xml:space="preserve"> stop</w:t>
            </w:r>
            <w:r w:rsidR="00D8325A" w:rsidRPr="009E0336">
              <w:rPr>
                <w:iCs/>
                <w:sz w:val="20"/>
                <w:szCs w:val="20"/>
              </w:rPr>
              <w:t>a</w:t>
            </w:r>
            <w:r w:rsidRPr="009E0336">
              <w:rPr>
                <w:iCs/>
                <w:sz w:val="20"/>
                <w:szCs w:val="20"/>
              </w:rPr>
              <w:t xml:space="preserve"> inflacije koja je povećala ostale </w:t>
            </w:r>
            <w:r w:rsidR="00022BCA" w:rsidRPr="009E0336">
              <w:rPr>
                <w:iCs/>
                <w:sz w:val="20"/>
                <w:szCs w:val="20"/>
              </w:rPr>
              <w:t xml:space="preserve">materijalne i financijske </w:t>
            </w:r>
            <w:r w:rsidRPr="009E0336">
              <w:rPr>
                <w:iCs/>
                <w:sz w:val="20"/>
                <w:szCs w:val="20"/>
              </w:rPr>
              <w:t>rashode</w:t>
            </w:r>
            <w:r w:rsidR="00D8325A" w:rsidRPr="009E0336">
              <w:rPr>
                <w:iCs/>
                <w:sz w:val="20"/>
                <w:szCs w:val="20"/>
              </w:rPr>
              <w:t>.</w:t>
            </w:r>
          </w:p>
          <w:p w14:paraId="167650E3" w14:textId="77777777" w:rsidR="00FA6BF1" w:rsidRPr="009E0336" w:rsidRDefault="00FA6BF1" w:rsidP="00C97AA2">
            <w:pPr>
              <w:pStyle w:val="Standard"/>
              <w:jc w:val="both"/>
              <w:rPr>
                <w:iCs/>
                <w:sz w:val="20"/>
                <w:szCs w:val="20"/>
              </w:rPr>
            </w:pPr>
          </w:p>
          <w:p w14:paraId="5409DFD8" w14:textId="77777777" w:rsidR="00FA6BF1" w:rsidRPr="009E0336" w:rsidRDefault="00091387" w:rsidP="00C97AA2">
            <w:pPr>
              <w:pStyle w:val="Standard"/>
              <w:jc w:val="both"/>
              <w:rPr>
                <w:sz w:val="20"/>
                <w:szCs w:val="20"/>
              </w:rPr>
            </w:pPr>
            <w:r w:rsidRPr="009E0336">
              <w:rPr>
                <w:iCs/>
                <w:sz w:val="20"/>
                <w:szCs w:val="20"/>
              </w:rPr>
              <w:t xml:space="preserve"> </w:t>
            </w:r>
          </w:p>
        </w:tc>
      </w:tr>
    </w:tbl>
    <w:p w14:paraId="55AC6938" w14:textId="77777777" w:rsidR="00FA6BF1" w:rsidRPr="009E0336" w:rsidRDefault="00FA6BF1">
      <w:pPr>
        <w:pStyle w:val="Standard"/>
        <w:rPr>
          <w:color w:val="FF0000"/>
          <w:sz w:val="20"/>
          <w:szCs w:val="20"/>
        </w:rPr>
      </w:pPr>
    </w:p>
    <w:p w14:paraId="524D5BFD" w14:textId="77777777" w:rsidR="00FA6BF1" w:rsidRPr="009E0336" w:rsidRDefault="00FA6BF1">
      <w:pPr>
        <w:pStyle w:val="Standard"/>
        <w:rPr>
          <w:color w:val="FF0000"/>
          <w:sz w:val="20"/>
          <w:szCs w:val="20"/>
        </w:rPr>
      </w:pPr>
    </w:p>
    <w:tbl>
      <w:tblPr>
        <w:tblW w:w="9401" w:type="dxa"/>
        <w:tblInd w:w="-108" w:type="dxa"/>
        <w:tblLayout w:type="fixed"/>
        <w:tblCellMar>
          <w:left w:w="10" w:type="dxa"/>
          <w:right w:w="10" w:type="dxa"/>
        </w:tblCellMar>
        <w:tblLook w:val="04A0" w:firstRow="1" w:lastRow="0" w:firstColumn="1" w:lastColumn="0" w:noHBand="0" w:noVBand="1"/>
      </w:tblPr>
      <w:tblGrid>
        <w:gridCol w:w="1245"/>
        <w:gridCol w:w="1126"/>
        <w:gridCol w:w="993"/>
        <w:gridCol w:w="1135"/>
        <w:gridCol w:w="1133"/>
        <w:gridCol w:w="1230"/>
        <w:gridCol w:w="1269"/>
        <w:gridCol w:w="1270"/>
      </w:tblGrid>
      <w:tr w:rsidR="00FA6BF1" w:rsidRPr="009E0336" w14:paraId="76BB9D15" w14:textId="77777777" w:rsidTr="00702A1E">
        <w:trPr>
          <w:trHeight w:val="651"/>
        </w:trPr>
        <w:tc>
          <w:tcPr>
            <w:tcW w:w="124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CCEE028" w14:textId="77777777" w:rsidR="00FA6BF1" w:rsidRPr="009E0336" w:rsidRDefault="00091387">
            <w:pPr>
              <w:pStyle w:val="Standard"/>
              <w:rPr>
                <w:sz w:val="20"/>
                <w:szCs w:val="20"/>
              </w:rPr>
            </w:pPr>
            <w:r w:rsidRPr="009E0336">
              <w:rPr>
                <w:b/>
                <w:sz w:val="20"/>
                <w:szCs w:val="20"/>
              </w:rPr>
              <w:t>Pokazatelj rezultata</w:t>
            </w:r>
          </w:p>
        </w:tc>
        <w:tc>
          <w:tcPr>
            <w:tcW w:w="112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7A6A46" w14:textId="77777777" w:rsidR="00FA6BF1" w:rsidRPr="009E0336" w:rsidRDefault="00091387">
            <w:pPr>
              <w:pStyle w:val="Standard"/>
              <w:jc w:val="center"/>
              <w:rPr>
                <w:sz w:val="20"/>
                <w:szCs w:val="20"/>
              </w:rPr>
            </w:pPr>
            <w:r w:rsidRPr="009E0336">
              <w:rPr>
                <w:b/>
                <w:sz w:val="20"/>
                <w:szCs w:val="20"/>
              </w:rPr>
              <w:t>Definicija</w:t>
            </w:r>
          </w:p>
        </w:tc>
        <w:tc>
          <w:tcPr>
            <w:tcW w:w="99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E4BD021" w14:textId="77777777" w:rsidR="00FA6BF1" w:rsidRPr="009E0336" w:rsidRDefault="00091387">
            <w:pPr>
              <w:pStyle w:val="Standard"/>
              <w:jc w:val="center"/>
              <w:rPr>
                <w:sz w:val="20"/>
                <w:szCs w:val="20"/>
              </w:rPr>
            </w:pPr>
            <w:r w:rsidRPr="009E0336">
              <w:rPr>
                <w:b/>
                <w:sz w:val="20"/>
                <w:szCs w:val="20"/>
              </w:rPr>
              <w:t>Jedinica</w:t>
            </w:r>
          </w:p>
        </w:tc>
        <w:tc>
          <w:tcPr>
            <w:tcW w:w="113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D7C4D84" w14:textId="2793E0D0" w:rsidR="00FA6BF1" w:rsidRPr="009E0336" w:rsidRDefault="00091387">
            <w:pPr>
              <w:pStyle w:val="Standard"/>
              <w:jc w:val="center"/>
              <w:rPr>
                <w:sz w:val="20"/>
                <w:szCs w:val="20"/>
              </w:rPr>
            </w:pPr>
            <w:r w:rsidRPr="009E0336">
              <w:rPr>
                <w:b/>
                <w:sz w:val="20"/>
                <w:szCs w:val="20"/>
              </w:rPr>
              <w:t>Polazna vrijednost 202</w:t>
            </w:r>
            <w:r w:rsidR="007077C9" w:rsidRPr="009E0336">
              <w:rPr>
                <w:b/>
                <w:sz w:val="20"/>
                <w:szCs w:val="20"/>
              </w:rPr>
              <w:t>4</w:t>
            </w:r>
            <w:r w:rsidRPr="009E0336">
              <w:rPr>
                <w:b/>
                <w:sz w:val="20"/>
                <w:szCs w:val="20"/>
              </w:rPr>
              <w:t>.</w:t>
            </w:r>
          </w:p>
        </w:tc>
        <w:tc>
          <w:tcPr>
            <w:tcW w:w="113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4B69E65" w14:textId="77777777" w:rsidR="00FA6BF1" w:rsidRPr="009E0336" w:rsidRDefault="00091387">
            <w:pPr>
              <w:pStyle w:val="Standard"/>
              <w:jc w:val="center"/>
              <w:rPr>
                <w:sz w:val="20"/>
                <w:szCs w:val="20"/>
              </w:rPr>
            </w:pPr>
            <w:r w:rsidRPr="009E0336">
              <w:rPr>
                <w:b/>
                <w:sz w:val="20"/>
                <w:szCs w:val="20"/>
              </w:rPr>
              <w:t>Izvor podataka</w:t>
            </w:r>
          </w:p>
        </w:tc>
        <w:tc>
          <w:tcPr>
            <w:tcW w:w="123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CE72935" w14:textId="6210D510" w:rsidR="00FA6BF1" w:rsidRPr="009E0336" w:rsidRDefault="00091387">
            <w:pPr>
              <w:pStyle w:val="Standard"/>
              <w:jc w:val="center"/>
              <w:rPr>
                <w:sz w:val="20"/>
                <w:szCs w:val="20"/>
              </w:rPr>
            </w:pPr>
            <w:r w:rsidRPr="009E0336">
              <w:rPr>
                <w:b/>
                <w:sz w:val="20"/>
                <w:szCs w:val="20"/>
              </w:rPr>
              <w:t>Ciljana vrijednost 202</w:t>
            </w:r>
            <w:r w:rsidR="007077C9" w:rsidRPr="009E0336">
              <w:rPr>
                <w:b/>
                <w:sz w:val="20"/>
                <w:szCs w:val="20"/>
              </w:rPr>
              <w:t>5</w:t>
            </w:r>
            <w:r w:rsidRPr="009E0336">
              <w:rPr>
                <w:b/>
                <w:sz w:val="20"/>
                <w:szCs w:val="20"/>
              </w:rPr>
              <w:t>.</w:t>
            </w:r>
          </w:p>
        </w:tc>
        <w:tc>
          <w:tcPr>
            <w:tcW w:w="1269"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B24D002" w14:textId="0D2859D3" w:rsidR="00FA6BF1" w:rsidRPr="009E0336" w:rsidRDefault="00091387">
            <w:pPr>
              <w:pStyle w:val="Standard"/>
              <w:jc w:val="center"/>
              <w:rPr>
                <w:sz w:val="20"/>
                <w:szCs w:val="20"/>
              </w:rPr>
            </w:pPr>
            <w:r w:rsidRPr="009E0336">
              <w:rPr>
                <w:b/>
                <w:sz w:val="20"/>
                <w:szCs w:val="20"/>
              </w:rPr>
              <w:t>Ciljana vrijednost 202</w:t>
            </w:r>
            <w:r w:rsidR="007077C9" w:rsidRPr="009E0336">
              <w:rPr>
                <w:b/>
                <w:sz w:val="20"/>
                <w:szCs w:val="20"/>
              </w:rPr>
              <w:t>6</w:t>
            </w:r>
            <w:r w:rsidRPr="009E0336">
              <w:rPr>
                <w:b/>
                <w:sz w:val="20"/>
                <w:szCs w:val="20"/>
              </w:rPr>
              <w:t>.</w:t>
            </w:r>
          </w:p>
        </w:tc>
        <w:tc>
          <w:tcPr>
            <w:tcW w:w="127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E4CE35F" w14:textId="11A3C6B8" w:rsidR="00FA6BF1" w:rsidRPr="009E0336" w:rsidRDefault="00091387">
            <w:pPr>
              <w:pStyle w:val="Standard"/>
              <w:jc w:val="center"/>
              <w:rPr>
                <w:sz w:val="20"/>
                <w:szCs w:val="20"/>
              </w:rPr>
            </w:pPr>
            <w:r w:rsidRPr="009E0336">
              <w:rPr>
                <w:b/>
                <w:sz w:val="20"/>
                <w:szCs w:val="20"/>
              </w:rPr>
              <w:t>Ciljana vrijednost 202</w:t>
            </w:r>
            <w:r w:rsidR="007077C9" w:rsidRPr="009E0336">
              <w:rPr>
                <w:b/>
                <w:sz w:val="20"/>
                <w:szCs w:val="20"/>
              </w:rPr>
              <w:t>7</w:t>
            </w:r>
            <w:r w:rsidRPr="009E0336">
              <w:rPr>
                <w:b/>
                <w:sz w:val="20"/>
                <w:szCs w:val="20"/>
              </w:rPr>
              <w:t>.</w:t>
            </w:r>
          </w:p>
        </w:tc>
      </w:tr>
      <w:tr w:rsidR="00FA6BF1" w:rsidRPr="009E0336" w14:paraId="024BB60B" w14:textId="77777777" w:rsidTr="00702A1E">
        <w:trPr>
          <w:trHeight w:val="219"/>
        </w:trPr>
        <w:tc>
          <w:tcPr>
            <w:tcW w:w="1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862C36" w14:textId="77777777" w:rsidR="00FA6BF1" w:rsidRPr="009E0336" w:rsidRDefault="00091387">
            <w:pPr>
              <w:pStyle w:val="Standard"/>
              <w:rPr>
                <w:sz w:val="20"/>
                <w:szCs w:val="20"/>
              </w:rPr>
            </w:pPr>
            <w:r w:rsidRPr="009E0336">
              <w:rPr>
                <w:sz w:val="20"/>
                <w:szCs w:val="20"/>
              </w:rPr>
              <w:t xml:space="preserve">Povećan broj pruženih zdravstvenih usluga po pacijentu </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5AD794" w14:textId="77777777" w:rsidR="00FA6BF1" w:rsidRPr="009E0336" w:rsidRDefault="00091387">
            <w:pPr>
              <w:pStyle w:val="Standard"/>
              <w:rPr>
                <w:sz w:val="20"/>
                <w:szCs w:val="20"/>
              </w:rPr>
            </w:pPr>
            <w:r w:rsidRPr="009E0336">
              <w:rPr>
                <w:sz w:val="20"/>
                <w:szCs w:val="20"/>
              </w:rPr>
              <w:t>Povećan broj pruženih usluga po pacijentu ukazuje na veću kvalitetu zdravstvene usluge pružene pacijentu</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0D18F1" w14:textId="77777777" w:rsidR="00FA6BF1" w:rsidRPr="009E0336" w:rsidRDefault="00091387">
            <w:pPr>
              <w:pStyle w:val="Standard"/>
              <w:rPr>
                <w:sz w:val="20"/>
                <w:szCs w:val="20"/>
              </w:rPr>
            </w:pPr>
            <w:r w:rsidRPr="009E0336">
              <w:rPr>
                <w:sz w:val="20"/>
                <w:szCs w:val="20"/>
              </w:rPr>
              <w:t>Broj usluga (postupaka) po pacijentu</w:t>
            </w:r>
          </w:p>
        </w:tc>
        <w:tc>
          <w:tcPr>
            <w:tcW w:w="11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8296AA" w14:textId="77777777" w:rsidR="00FA6BF1" w:rsidRPr="009E0336" w:rsidRDefault="00091387" w:rsidP="00702A1E">
            <w:pPr>
              <w:pStyle w:val="Standard"/>
              <w:jc w:val="center"/>
              <w:rPr>
                <w:sz w:val="20"/>
                <w:szCs w:val="20"/>
              </w:rPr>
            </w:pPr>
            <w:r w:rsidRPr="009E0336">
              <w:rPr>
                <w:sz w:val="20"/>
                <w:szCs w:val="20"/>
              </w:rPr>
              <w:t>4,8</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DACBAD" w14:textId="4A1834D7" w:rsidR="00FA6BF1" w:rsidRPr="009E0336" w:rsidRDefault="00091387" w:rsidP="00702A1E">
            <w:pPr>
              <w:pStyle w:val="Standard"/>
              <w:jc w:val="center"/>
              <w:rPr>
                <w:sz w:val="20"/>
                <w:szCs w:val="20"/>
              </w:rPr>
            </w:pPr>
            <w:r w:rsidRPr="009E0336">
              <w:rPr>
                <w:sz w:val="20"/>
                <w:szCs w:val="20"/>
              </w:rPr>
              <w:t>Z</w:t>
            </w:r>
            <w:r w:rsidR="00A43490" w:rsidRPr="009E0336">
              <w:rPr>
                <w:sz w:val="20"/>
                <w:szCs w:val="20"/>
              </w:rPr>
              <w:t>avod</w:t>
            </w:r>
          </w:p>
        </w:tc>
        <w:tc>
          <w:tcPr>
            <w:tcW w:w="12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C49678" w14:textId="77777777" w:rsidR="00FA6BF1" w:rsidRPr="009E0336" w:rsidRDefault="00091387" w:rsidP="00702A1E">
            <w:pPr>
              <w:pStyle w:val="Standard"/>
              <w:jc w:val="center"/>
              <w:rPr>
                <w:sz w:val="20"/>
                <w:szCs w:val="20"/>
              </w:rPr>
            </w:pPr>
            <w:r w:rsidRPr="009E0336">
              <w:rPr>
                <w:sz w:val="20"/>
                <w:szCs w:val="20"/>
              </w:rPr>
              <w:t>4,9</w:t>
            </w:r>
          </w:p>
        </w:tc>
        <w:tc>
          <w:tcPr>
            <w:tcW w:w="12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CD65A4" w14:textId="77777777" w:rsidR="00FA6BF1" w:rsidRPr="009E0336" w:rsidRDefault="00091387" w:rsidP="00702A1E">
            <w:pPr>
              <w:pStyle w:val="Standard"/>
              <w:jc w:val="center"/>
              <w:rPr>
                <w:sz w:val="20"/>
                <w:szCs w:val="20"/>
              </w:rPr>
            </w:pPr>
            <w:r w:rsidRPr="009E0336">
              <w:rPr>
                <w:sz w:val="20"/>
                <w:szCs w:val="20"/>
              </w:rPr>
              <w:t>5,0</w:t>
            </w:r>
          </w:p>
        </w:tc>
        <w:tc>
          <w:tcPr>
            <w:tcW w:w="12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C11B91" w14:textId="77777777" w:rsidR="00FA6BF1" w:rsidRPr="009E0336" w:rsidRDefault="00091387" w:rsidP="00702A1E">
            <w:pPr>
              <w:pStyle w:val="Standard"/>
              <w:jc w:val="center"/>
              <w:rPr>
                <w:sz w:val="20"/>
                <w:szCs w:val="20"/>
              </w:rPr>
            </w:pPr>
            <w:r w:rsidRPr="009E0336">
              <w:rPr>
                <w:sz w:val="20"/>
                <w:szCs w:val="20"/>
              </w:rPr>
              <w:t>5,1</w:t>
            </w:r>
          </w:p>
          <w:p w14:paraId="0E4B8576" w14:textId="77777777" w:rsidR="00FA6BF1" w:rsidRPr="009E0336" w:rsidRDefault="00FA6BF1" w:rsidP="00702A1E">
            <w:pPr>
              <w:pStyle w:val="Standard"/>
              <w:jc w:val="center"/>
              <w:rPr>
                <w:sz w:val="20"/>
                <w:szCs w:val="20"/>
              </w:rPr>
            </w:pPr>
          </w:p>
        </w:tc>
      </w:tr>
      <w:tr w:rsidR="00FA6BF1" w:rsidRPr="009E0336" w14:paraId="4068E5C9" w14:textId="77777777" w:rsidTr="00702A1E">
        <w:trPr>
          <w:trHeight w:val="219"/>
        </w:trPr>
        <w:tc>
          <w:tcPr>
            <w:tcW w:w="1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9383FC" w14:textId="77777777" w:rsidR="00FA6BF1" w:rsidRPr="009E0336" w:rsidRDefault="00091387">
            <w:pPr>
              <w:pStyle w:val="Standard"/>
              <w:rPr>
                <w:sz w:val="20"/>
                <w:szCs w:val="20"/>
              </w:rPr>
            </w:pPr>
            <w:r w:rsidRPr="009E0336">
              <w:rPr>
                <w:sz w:val="20"/>
                <w:szCs w:val="20"/>
              </w:rPr>
              <w:t>Povećan broj prijeđenih kilometara</w:t>
            </w:r>
          </w:p>
        </w:tc>
        <w:tc>
          <w:tcPr>
            <w:tcW w:w="1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F3B3909" w14:textId="77777777" w:rsidR="00FA6BF1" w:rsidRPr="009E0336" w:rsidRDefault="00091387">
            <w:pPr>
              <w:pStyle w:val="Standard"/>
              <w:rPr>
                <w:sz w:val="20"/>
                <w:szCs w:val="20"/>
              </w:rPr>
            </w:pPr>
            <w:r w:rsidRPr="009E0336">
              <w:rPr>
                <w:sz w:val="20"/>
                <w:szCs w:val="20"/>
              </w:rPr>
              <w:t>Povećan broj prijeđenih kilometara ukazuje na dostupnost zdravstvene skrbi pacijentima na području SDŽ i Republike Hrvatske</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07DA9E" w14:textId="77777777" w:rsidR="00FA6BF1" w:rsidRPr="009E0336" w:rsidRDefault="00091387">
            <w:pPr>
              <w:pStyle w:val="Standard"/>
              <w:rPr>
                <w:sz w:val="20"/>
                <w:szCs w:val="20"/>
              </w:rPr>
            </w:pPr>
            <w:r w:rsidRPr="009E0336">
              <w:rPr>
                <w:sz w:val="20"/>
                <w:szCs w:val="20"/>
              </w:rPr>
              <w:t>Broj prijeđenih kilometara</w:t>
            </w:r>
          </w:p>
        </w:tc>
        <w:tc>
          <w:tcPr>
            <w:tcW w:w="11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5AE31F" w14:textId="32D8574B" w:rsidR="00FA6BF1" w:rsidRPr="009E0336" w:rsidRDefault="00E76181">
            <w:pPr>
              <w:pStyle w:val="Standard"/>
              <w:rPr>
                <w:sz w:val="20"/>
                <w:szCs w:val="20"/>
              </w:rPr>
            </w:pPr>
            <w:r w:rsidRPr="009E0336">
              <w:rPr>
                <w:sz w:val="20"/>
                <w:szCs w:val="20"/>
              </w:rPr>
              <w:t>3.</w:t>
            </w:r>
            <w:r w:rsidR="00C16DFE" w:rsidRPr="009E0336">
              <w:rPr>
                <w:sz w:val="20"/>
                <w:szCs w:val="20"/>
              </w:rPr>
              <w:t>800</w:t>
            </w:r>
            <w:r w:rsidR="00091387" w:rsidRPr="009E0336">
              <w:rPr>
                <w:sz w:val="20"/>
                <w:szCs w:val="20"/>
              </w:rPr>
              <w:t>.000</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C802B0" w14:textId="5D38FB48" w:rsidR="00FA6BF1" w:rsidRPr="009E0336" w:rsidRDefault="00091387">
            <w:pPr>
              <w:pStyle w:val="Standard"/>
              <w:rPr>
                <w:sz w:val="20"/>
                <w:szCs w:val="20"/>
              </w:rPr>
            </w:pPr>
            <w:r w:rsidRPr="009E0336">
              <w:rPr>
                <w:sz w:val="20"/>
                <w:szCs w:val="20"/>
              </w:rPr>
              <w:t>Z</w:t>
            </w:r>
            <w:r w:rsidR="00A43490" w:rsidRPr="009E0336">
              <w:rPr>
                <w:sz w:val="20"/>
                <w:szCs w:val="20"/>
              </w:rPr>
              <w:t>avod</w:t>
            </w:r>
          </w:p>
        </w:tc>
        <w:tc>
          <w:tcPr>
            <w:tcW w:w="12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1BFF63" w14:textId="05CE3075" w:rsidR="00FA6BF1" w:rsidRPr="009E0336" w:rsidRDefault="00E76181">
            <w:pPr>
              <w:pStyle w:val="Standard"/>
              <w:rPr>
                <w:sz w:val="20"/>
                <w:szCs w:val="20"/>
              </w:rPr>
            </w:pPr>
            <w:r w:rsidRPr="009E0336">
              <w:rPr>
                <w:sz w:val="20"/>
                <w:szCs w:val="20"/>
              </w:rPr>
              <w:t>3.</w:t>
            </w:r>
            <w:r w:rsidR="00C16DFE" w:rsidRPr="009E0336">
              <w:rPr>
                <w:sz w:val="20"/>
                <w:szCs w:val="20"/>
              </w:rPr>
              <w:t>81</w:t>
            </w:r>
            <w:r w:rsidRPr="009E0336">
              <w:rPr>
                <w:sz w:val="20"/>
                <w:szCs w:val="20"/>
              </w:rPr>
              <w:t>0.000</w:t>
            </w:r>
          </w:p>
        </w:tc>
        <w:tc>
          <w:tcPr>
            <w:tcW w:w="12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2176EC" w14:textId="7B2736BC" w:rsidR="00FA6BF1" w:rsidRPr="009E0336" w:rsidRDefault="00E76181">
            <w:pPr>
              <w:pStyle w:val="Standard"/>
              <w:rPr>
                <w:sz w:val="20"/>
                <w:szCs w:val="20"/>
              </w:rPr>
            </w:pPr>
            <w:r w:rsidRPr="009E0336">
              <w:rPr>
                <w:sz w:val="20"/>
                <w:szCs w:val="20"/>
              </w:rPr>
              <w:t>3.</w:t>
            </w:r>
            <w:r w:rsidR="00C16DFE" w:rsidRPr="009E0336">
              <w:rPr>
                <w:sz w:val="20"/>
                <w:szCs w:val="20"/>
              </w:rPr>
              <w:t>82</w:t>
            </w:r>
            <w:r w:rsidRPr="009E0336">
              <w:rPr>
                <w:sz w:val="20"/>
                <w:szCs w:val="20"/>
              </w:rPr>
              <w:t>0.000</w:t>
            </w:r>
          </w:p>
        </w:tc>
        <w:tc>
          <w:tcPr>
            <w:tcW w:w="12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DBFC40" w14:textId="35A96052" w:rsidR="00FA6BF1" w:rsidRPr="009E0336" w:rsidRDefault="00E76181">
            <w:pPr>
              <w:pStyle w:val="Standard"/>
              <w:rPr>
                <w:sz w:val="20"/>
                <w:szCs w:val="20"/>
              </w:rPr>
            </w:pPr>
            <w:r w:rsidRPr="009E0336">
              <w:rPr>
                <w:sz w:val="20"/>
                <w:szCs w:val="20"/>
              </w:rPr>
              <w:t>3.</w:t>
            </w:r>
            <w:r w:rsidR="00C16DFE" w:rsidRPr="009E0336">
              <w:rPr>
                <w:sz w:val="20"/>
                <w:szCs w:val="20"/>
              </w:rPr>
              <w:t>830</w:t>
            </w:r>
            <w:r w:rsidRPr="009E0336">
              <w:rPr>
                <w:sz w:val="20"/>
                <w:szCs w:val="20"/>
              </w:rPr>
              <w:t>.000</w:t>
            </w:r>
          </w:p>
        </w:tc>
      </w:tr>
    </w:tbl>
    <w:p w14:paraId="13443540" w14:textId="7231A7C0" w:rsidR="00FA6BF1" w:rsidRPr="009E0336" w:rsidRDefault="00FA6BF1">
      <w:pPr>
        <w:pStyle w:val="Standard"/>
        <w:rPr>
          <w:color w:val="FF0000"/>
          <w:sz w:val="20"/>
          <w:szCs w:val="20"/>
        </w:rPr>
      </w:pPr>
    </w:p>
    <w:p w14:paraId="75FD688F" w14:textId="77777777" w:rsidR="007C6F2E" w:rsidRPr="009E0336" w:rsidRDefault="007C6F2E">
      <w:pPr>
        <w:pStyle w:val="Standard"/>
        <w:rPr>
          <w:color w:val="FF0000"/>
          <w:sz w:val="20"/>
          <w:szCs w:val="20"/>
        </w:rPr>
      </w:pPr>
    </w:p>
    <w:tbl>
      <w:tblPr>
        <w:tblW w:w="9405" w:type="dxa"/>
        <w:tblInd w:w="-108" w:type="dxa"/>
        <w:tblLayout w:type="fixed"/>
        <w:tblCellMar>
          <w:left w:w="10" w:type="dxa"/>
          <w:right w:w="10" w:type="dxa"/>
        </w:tblCellMar>
        <w:tblLook w:val="04A0" w:firstRow="1" w:lastRow="0" w:firstColumn="1" w:lastColumn="0" w:noHBand="0" w:noVBand="1"/>
      </w:tblPr>
      <w:tblGrid>
        <w:gridCol w:w="1237"/>
        <w:gridCol w:w="1985"/>
        <w:gridCol w:w="6183"/>
      </w:tblGrid>
      <w:tr w:rsidR="00FA6BF1" w:rsidRPr="009E0336" w14:paraId="00D1DF66" w14:textId="77777777" w:rsidTr="00C97AA2">
        <w:trPr>
          <w:trHeight w:val="517"/>
        </w:trPr>
        <w:tc>
          <w:tcPr>
            <w:tcW w:w="123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ABB9AF0" w14:textId="77777777" w:rsidR="00FA6BF1" w:rsidRPr="009E0336" w:rsidRDefault="00091387">
            <w:pPr>
              <w:pStyle w:val="Standard"/>
              <w:spacing w:line="276" w:lineRule="auto"/>
              <w:rPr>
                <w:sz w:val="20"/>
                <w:szCs w:val="20"/>
              </w:rPr>
            </w:pPr>
            <w:r w:rsidRPr="009E0336">
              <w:rPr>
                <w:b/>
                <w:bCs/>
                <w:color w:val="000000"/>
                <w:sz w:val="20"/>
                <w:szCs w:val="20"/>
                <w:lang w:eastAsia="en-US"/>
              </w:rPr>
              <w:t>Aktivnost/ Projekt:</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33B5FD" w14:textId="77777777" w:rsidR="00FA6BF1" w:rsidRPr="009E0336" w:rsidRDefault="00091387">
            <w:pPr>
              <w:pStyle w:val="Standard"/>
              <w:spacing w:line="276" w:lineRule="auto"/>
              <w:rPr>
                <w:b/>
                <w:bCs/>
                <w:sz w:val="20"/>
                <w:szCs w:val="20"/>
                <w:lang w:eastAsia="en-US"/>
              </w:rPr>
            </w:pPr>
            <w:r w:rsidRPr="009E0336">
              <w:rPr>
                <w:b/>
                <w:bCs/>
                <w:sz w:val="20"/>
                <w:szCs w:val="20"/>
                <w:lang w:eastAsia="en-US"/>
              </w:rPr>
              <w:t>A003020A302002</w:t>
            </w:r>
          </w:p>
        </w:tc>
        <w:tc>
          <w:tcPr>
            <w:tcW w:w="61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D98BB8" w14:textId="77777777" w:rsidR="00FA6BF1" w:rsidRPr="009E0336" w:rsidRDefault="00091387">
            <w:pPr>
              <w:pStyle w:val="Standard"/>
              <w:spacing w:line="276" w:lineRule="auto"/>
              <w:rPr>
                <w:b/>
                <w:bCs/>
                <w:sz w:val="20"/>
                <w:szCs w:val="20"/>
                <w:lang w:eastAsia="en-US"/>
              </w:rPr>
            </w:pPr>
            <w:r w:rsidRPr="009E0336">
              <w:rPr>
                <w:b/>
                <w:bCs/>
                <w:sz w:val="20"/>
                <w:szCs w:val="20"/>
                <w:lang w:eastAsia="en-US"/>
              </w:rPr>
              <w:t>Izgradnja i uređenje objekata te nabava i održavanje opreme</w:t>
            </w:r>
          </w:p>
        </w:tc>
      </w:tr>
      <w:tr w:rsidR="00FA6BF1" w:rsidRPr="009E0336" w14:paraId="39986534" w14:textId="77777777" w:rsidTr="00C97AA2">
        <w:trPr>
          <w:trHeight w:val="517"/>
        </w:trPr>
        <w:tc>
          <w:tcPr>
            <w:tcW w:w="123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E73FF75" w14:textId="77777777" w:rsidR="00FA6BF1" w:rsidRPr="009E0336" w:rsidRDefault="00091387">
            <w:pPr>
              <w:pStyle w:val="Standard"/>
              <w:spacing w:line="276" w:lineRule="auto"/>
              <w:rPr>
                <w:sz w:val="20"/>
                <w:szCs w:val="20"/>
              </w:rPr>
            </w:pPr>
            <w:r w:rsidRPr="009E0336">
              <w:rPr>
                <w:color w:val="000000"/>
                <w:sz w:val="20"/>
                <w:szCs w:val="20"/>
                <w:lang w:eastAsia="en-US"/>
              </w:rPr>
              <w:t>Zakonska i druga pravna osnova:</w:t>
            </w:r>
          </w:p>
        </w:tc>
        <w:tc>
          <w:tcPr>
            <w:tcW w:w="81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C13844" w14:textId="3C000D3A" w:rsidR="00FA6BF1" w:rsidRPr="009E0336" w:rsidRDefault="00091387" w:rsidP="00C97AA2">
            <w:pPr>
              <w:spacing w:line="240" w:lineRule="auto"/>
              <w:jc w:val="both"/>
              <w:rPr>
                <w:rFonts w:ascii="Times New Roman" w:eastAsia="Symbol" w:hAnsi="Times New Roman" w:cs="Times New Roman"/>
                <w:sz w:val="20"/>
                <w:szCs w:val="20"/>
                <w:lang w:val="pl-PL"/>
              </w:rPr>
            </w:pPr>
            <w:r w:rsidRPr="009E0336">
              <w:rPr>
                <w:rFonts w:ascii="Times New Roman" w:eastAsia="Symbol" w:hAnsi="Times New Roman" w:cs="Times New Roman"/>
                <w:sz w:val="20"/>
                <w:szCs w:val="20"/>
                <w:lang w:val="pl-PL"/>
              </w:rPr>
              <w:t>Zakon o zdravstvenoj zaštiti, Zakon o obveznom zdravstvenom osiguranju, Mreža hitne medicine</w:t>
            </w:r>
            <w:r w:rsidR="00C97F9A" w:rsidRPr="009E0336">
              <w:rPr>
                <w:rFonts w:ascii="Times New Roman" w:eastAsia="Symbol" w:hAnsi="Times New Roman" w:cs="Times New Roman"/>
                <w:sz w:val="20"/>
                <w:szCs w:val="20"/>
                <w:lang w:val="pl-PL"/>
              </w:rPr>
              <w:t xml:space="preserve"> i sanitetskog prijevoza</w:t>
            </w:r>
            <w:r w:rsidRPr="009E0336">
              <w:rPr>
                <w:rFonts w:ascii="Times New Roman" w:eastAsia="Symbol" w:hAnsi="Times New Roman" w:cs="Times New Roman"/>
                <w:sz w:val="20"/>
                <w:szCs w:val="20"/>
                <w:lang w:val="pl-PL"/>
              </w:rPr>
              <w:t>,</w:t>
            </w:r>
            <w:r w:rsidR="003F705E" w:rsidRPr="009E0336">
              <w:rPr>
                <w:rFonts w:ascii="Times New Roman" w:eastAsia="Symbol" w:hAnsi="Times New Roman" w:cs="Times New Roman"/>
                <w:sz w:val="20"/>
                <w:szCs w:val="20"/>
                <w:lang w:val="pl-PL"/>
              </w:rPr>
              <w:t xml:space="preserve"> </w:t>
            </w:r>
            <w:r w:rsidR="00C97F9A" w:rsidRPr="009E0336">
              <w:rPr>
                <w:rFonts w:ascii="Times New Roman" w:eastAsia="Symbol" w:hAnsi="Times New Roman" w:cs="Times New Roman"/>
                <w:sz w:val="20"/>
                <w:szCs w:val="20"/>
                <w:lang w:val="pl-PL"/>
              </w:rPr>
              <w:t xml:space="preserve">Pravilnik o standardima i normativima u pogledu prostora, radnika i medicinsko-tehničke opreme za obavljanje djelatnosti hitne medicine i djelatnosti sanitetskog prijevoza, </w:t>
            </w:r>
            <w:r w:rsidRPr="009E0336">
              <w:rPr>
                <w:rFonts w:ascii="Times New Roman" w:hAnsi="Times New Roman" w:cs="Times New Roman"/>
                <w:iCs/>
                <w:sz w:val="20"/>
                <w:szCs w:val="20"/>
              </w:rPr>
              <w:t>Pravilnik o organizaciji i načinu obavljanja djelatnosti hitne medicine</w:t>
            </w:r>
            <w:r w:rsidR="00C97F9A" w:rsidRPr="009E0336">
              <w:rPr>
                <w:rFonts w:ascii="Times New Roman" w:hAnsi="Times New Roman" w:cs="Times New Roman"/>
                <w:iCs/>
                <w:sz w:val="20"/>
                <w:szCs w:val="20"/>
              </w:rPr>
              <w:t xml:space="preserve"> i sanitetskog prijevoza</w:t>
            </w:r>
            <w:r w:rsidRPr="009E0336">
              <w:rPr>
                <w:rFonts w:ascii="Times New Roman" w:hAnsi="Times New Roman" w:cs="Times New Roman"/>
                <w:iCs/>
                <w:sz w:val="20"/>
                <w:szCs w:val="20"/>
              </w:rPr>
              <w:t xml:space="preserve">, </w:t>
            </w:r>
            <w:r w:rsidRPr="009E0336">
              <w:rPr>
                <w:rFonts w:ascii="Times New Roman" w:hAnsi="Times New Roman" w:cs="Times New Roman"/>
                <w:sz w:val="20"/>
                <w:szCs w:val="20"/>
              </w:rPr>
              <w:t>Upute za izradu Proračuna Splitsko-dalmatinske županije za razdoblje 202</w:t>
            </w:r>
            <w:r w:rsidR="00C97F9A" w:rsidRPr="009E0336">
              <w:rPr>
                <w:rFonts w:ascii="Times New Roman" w:hAnsi="Times New Roman" w:cs="Times New Roman"/>
                <w:sz w:val="20"/>
                <w:szCs w:val="20"/>
              </w:rPr>
              <w:t>5</w:t>
            </w:r>
            <w:r w:rsidRPr="009E0336">
              <w:rPr>
                <w:rFonts w:ascii="Times New Roman" w:hAnsi="Times New Roman" w:cs="Times New Roman"/>
                <w:sz w:val="20"/>
                <w:szCs w:val="20"/>
              </w:rPr>
              <w:t>.g.-202</w:t>
            </w:r>
            <w:r w:rsidR="00C97F9A" w:rsidRPr="009E0336">
              <w:rPr>
                <w:rFonts w:ascii="Times New Roman" w:hAnsi="Times New Roman" w:cs="Times New Roman"/>
                <w:sz w:val="20"/>
                <w:szCs w:val="20"/>
              </w:rPr>
              <w:t>7</w:t>
            </w:r>
            <w:r w:rsidRPr="009E0336">
              <w:rPr>
                <w:rFonts w:ascii="Times New Roman" w:hAnsi="Times New Roman" w:cs="Times New Roman"/>
                <w:sz w:val="20"/>
                <w:szCs w:val="20"/>
              </w:rPr>
              <w:t>.g.</w:t>
            </w:r>
          </w:p>
        </w:tc>
      </w:tr>
      <w:tr w:rsidR="00FA6BF1" w:rsidRPr="009E0336" w14:paraId="7572918D" w14:textId="77777777" w:rsidTr="00C97AA2">
        <w:trPr>
          <w:trHeight w:val="257"/>
        </w:trPr>
        <w:tc>
          <w:tcPr>
            <w:tcW w:w="123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66F4B94" w14:textId="77777777" w:rsidR="00FA6BF1" w:rsidRPr="009E0336" w:rsidRDefault="00091387">
            <w:pPr>
              <w:pStyle w:val="Standard"/>
              <w:spacing w:line="276" w:lineRule="auto"/>
              <w:rPr>
                <w:sz w:val="20"/>
                <w:szCs w:val="20"/>
              </w:rPr>
            </w:pPr>
            <w:r w:rsidRPr="009E0336">
              <w:rPr>
                <w:b/>
                <w:bCs/>
                <w:color w:val="000000"/>
                <w:sz w:val="20"/>
                <w:szCs w:val="20"/>
                <w:lang w:eastAsia="en-US"/>
              </w:rPr>
              <w:t>Opis aktivnosti / projekta</w:t>
            </w:r>
          </w:p>
        </w:tc>
        <w:tc>
          <w:tcPr>
            <w:tcW w:w="816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6B33A18" w14:textId="160B68C1" w:rsidR="00FA6BF1" w:rsidRPr="009E0336" w:rsidRDefault="00091387" w:rsidP="00C97AA2">
            <w:pPr>
              <w:snapToGrid w:val="0"/>
              <w:spacing w:line="240" w:lineRule="auto"/>
              <w:jc w:val="both"/>
              <w:rPr>
                <w:rFonts w:ascii="Times New Roman" w:hAnsi="Times New Roman" w:cs="Times New Roman"/>
                <w:sz w:val="20"/>
                <w:szCs w:val="20"/>
              </w:rPr>
            </w:pPr>
            <w:r w:rsidRPr="009E0336">
              <w:rPr>
                <w:rFonts w:ascii="Times New Roman" w:hAnsi="Times New Roman" w:cs="Times New Roman"/>
                <w:sz w:val="20"/>
                <w:szCs w:val="20"/>
              </w:rPr>
              <w:t xml:space="preserve">Cilj aktivnosti je redovito održavanje opreme i voznog parka, adaptacija objekata za smještaj timova hitne medicine </w:t>
            </w:r>
            <w:r w:rsidR="008E7AB2" w:rsidRPr="009E0336">
              <w:rPr>
                <w:rFonts w:ascii="Times New Roman" w:hAnsi="Times New Roman" w:cs="Times New Roman"/>
                <w:sz w:val="20"/>
                <w:szCs w:val="20"/>
              </w:rPr>
              <w:t>te</w:t>
            </w:r>
            <w:r w:rsidRPr="009E0336">
              <w:rPr>
                <w:rFonts w:ascii="Times New Roman" w:hAnsi="Times New Roman" w:cs="Times New Roman"/>
                <w:sz w:val="20"/>
                <w:szCs w:val="20"/>
              </w:rPr>
              <w:t xml:space="preserve"> nabava opreme i novih vozila kako bi se osigurali preduvjeti za provođenje kvalitetne hitne medicine i sanitetskog prijevoza.</w:t>
            </w:r>
          </w:p>
          <w:p w14:paraId="486D57D5" w14:textId="2B559379" w:rsidR="00FA6BF1" w:rsidRPr="009E0336" w:rsidRDefault="00C97F9A" w:rsidP="00C97AA2">
            <w:pPr>
              <w:snapToGrid w:val="0"/>
              <w:spacing w:line="240" w:lineRule="auto"/>
              <w:jc w:val="both"/>
              <w:rPr>
                <w:rFonts w:ascii="Times New Roman" w:hAnsi="Times New Roman" w:cs="Times New Roman"/>
                <w:bCs/>
                <w:sz w:val="20"/>
                <w:szCs w:val="20"/>
              </w:rPr>
            </w:pPr>
            <w:r w:rsidRPr="009E0336">
              <w:rPr>
                <w:rFonts w:ascii="Times New Roman" w:hAnsi="Times New Roman" w:cs="Times New Roman"/>
                <w:bCs/>
                <w:sz w:val="20"/>
                <w:szCs w:val="20"/>
              </w:rPr>
              <w:t xml:space="preserve">Tijekom svibnja 2024.g. stupio je na snagu novi </w:t>
            </w:r>
            <w:r w:rsidRPr="009E0336">
              <w:rPr>
                <w:rFonts w:ascii="Times New Roman" w:eastAsia="Symbol" w:hAnsi="Times New Roman" w:cs="Times New Roman"/>
                <w:sz w:val="20"/>
                <w:szCs w:val="20"/>
                <w:lang w:val="pl-PL"/>
              </w:rPr>
              <w:t>Pravilnik o standardima i normativima u pogledu prostora, radnika i medicinsko-tehničke opreme za obavljanje djelatnosti hitne medicine i djelatnosti sanitetskog prijevoza</w:t>
            </w:r>
            <w:r w:rsidRPr="009E0336">
              <w:rPr>
                <w:rFonts w:ascii="Times New Roman" w:hAnsi="Times New Roman" w:cs="Times New Roman"/>
                <w:bCs/>
                <w:sz w:val="20"/>
                <w:szCs w:val="20"/>
              </w:rPr>
              <w:t xml:space="preserve"> (NN 64/2024), sukladno kojem tijekom iduće dvije odnosno pet godina je potrebno prilagoditi prostore te nabaviti propisanu opremu. Svako vozilo, plovilo i helikopter u kojem se obavlja djelatnost izvanbolničke hitne medicine mora ispunjavati Standard medicinske opreme, medicinskih uređaja i pribora za obavljanje djelatnost te Standard vozila i vanjskog izgleda vozila</w:t>
            </w:r>
            <w:r w:rsidR="00B35BC8" w:rsidRPr="009E0336">
              <w:rPr>
                <w:rFonts w:ascii="Times New Roman" w:hAnsi="Times New Roman" w:cs="Times New Roman"/>
                <w:bCs/>
                <w:sz w:val="20"/>
                <w:szCs w:val="20"/>
              </w:rPr>
              <w:t>.</w:t>
            </w:r>
            <w:r w:rsidR="009D075F" w:rsidRPr="009E0336">
              <w:rPr>
                <w:rFonts w:ascii="Times New Roman" w:hAnsi="Times New Roman" w:cs="Times New Roman"/>
                <w:bCs/>
                <w:sz w:val="20"/>
                <w:szCs w:val="20"/>
              </w:rPr>
              <w:t xml:space="preserve"> </w:t>
            </w:r>
            <w:r w:rsidR="00091387" w:rsidRPr="009E0336">
              <w:rPr>
                <w:rFonts w:ascii="Times New Roman" w:hAnsi="Times New Roman" w:cs="Times New Roman"/>
                <w:bCs/>
                <w:sz w:val="20"/>
                <w:szCs w:val="20"/>
              </w:rPr>
              <w:t>Također, zbog djelatnosti koju Zavod obavlja nužno je redovito servisiranje i održavanje vozila  i medicinske opreme</w:t>
            </w:r>
            <w:r w:rsidR="007E28A5" w:rsidRPr="009E0336">
              <w:rPr>
                <w:rFonts w:ascii="Times New Roman" w:hAnsi="Times New Roman" w:cs="Times New Roman"/>
                <w:bCs/>
                <w:sz w:val="20"/>
                <w:szCs w:val="20"/>
              </w:rPr>
              <w:t>, održavanja objekata,</w:t>
            </w:r>
            <w:r w:rsidR="00091387" w:rsidRPr="009E0336">
              <w:rPr>
                <w:rFonts w:ascii="Times New Roman" w:hAnsi="Times New Roman" w:cs="Times New Roman"/>
                <w:bCs/>
                <w:sz w:val="20"/>
                <w:szCs w:val="20"/>
              </w:rPr>
              <w:t xml:space="preserve"> te nabava auto guma i službene radne odjeće.</w:t>
            </w:r>
            <w:r w:rsidR="00FF50C5" w:rsidRPr="009E0336">
              <w:rPr>
                <w:rFonts w:ascii="Times New Roman" w:hAnsi="Times New Roman" w:cs="Times New Roman"/>
                <w:bCs/>
                <w:sz w:val="20"/>
                <w:szCs w:val="20"/>
              </w:rPr>
              <w:t xml:space="preserve"> </w:t>
            </w:r>
            <w:r w:rsidR="00091387" w:rsidRPr="009E0336">
              <w:rPr>
                <w:rFonts w:ascii="Times New Roman" w:hAnsi="Times New Roman" w:cs="Times New Roman"/>
                <w:bCs/>
                <w:sz w:val="20"/>
                <w:szCs w:val="20"/>
              </w:rPr>
              <w:t>Uz navedeno, za unaprjeđenje uvjeta rada i opremljenosti potrebno je nabaviti licence, računalnu opremu i namještaj, medicinsku i komunikacijsku opremu čime će se poboljšati dostupnost, jednakost i učinkovitost, odnosno efikasnost hitne medicine i sanitetskog prijevoza.</w:t>
            </w:r>
          </w:p>
          <w:p w14:paraId="25CF62EB" w14:textId="224F9420" w:rsidR="00FA6BF1" w:rsidRPr="009E0336" w:rsidRDefault="00091387" w:rsidP="00C97AA2">
            <w:pPr>
              <w:spacing w:line="240" w:lineRule="auto"/>
              <w:jc w:val="both"/>
              <w:rPr>
                <w:rFonts w:ascii="Times New Roman" w:hAnsi="Times New Roman" w:cs="Times New Roman"/>
                <w:bCs/>
                <w:sz w:val="20"/>
                <w:szCs w:val="20"/>
              </w:rPr>
            </w:pPr>
            <w:r w:rsidRPr="009E0336">
              <w:rPr>
                <w:rFonts w:ascii="Times New Roman" w:hAnsi="Times New Roman" w:cs="Times New Roman"/>
                <w:bCs/>
                <w:sz w:val="20"/>
                <w:szCs w:val="20"/>
              </w:rPr>
              <w:t xml:space="preserve">Ova aktivnost, koja obuhvaća </w:t>
            </w:r>
            <w:r w:rsidR="00C97F9A" w:rsidRPr="009E0336">
              <w:rPr>
                <w:rFonts w:ascii="Times New Roman" w:hAnsi="Times New Roman" w:cs="Times New Roman"/>
                <w:bCs/>
                <w:sz w:val="20"/>
                <w:szCs w:val="20"/>
              </w:rPr>
              <w:t>9,5</w:t>
            </w:r>
            <w:r w:rsidRPr="009E0336">
              <w:rPr>
                <w:rFonts w:ascii="Times New Roman" w:hAnsi="Times New Roman" w:cs="Times New Roman"/>
                <w:bCs/>
                <w:sz w:val="20"/>
                <w:szCs w:val="20"/>
              </w:rPr>
              <w:t xml:space="preserve"> % ukupnog plana za 202</w:t>
            </w:r>
            <w:r w:rsidR="00C97F9A" w:rsidRPr="009E0336">
              <w:rPr>
                <w:rFonts w:ascii="Times New Roman" w:hAnsi="Times New Roman" w:cs="Times New Roman"/>
                <w:bCs/>
                <w:sz w:val="20"/>
                <w:szCs w:val="20"/>
              </w:rPr>
              <w:t>5</w:t>
            </w:r>
            <w:r w:rsidRPr="009E0336">
              <w:rPr>
                <w:rFonts w:ascii="Times New Roman" w:hAnsi="Times New Roman" w:cs="Times New Roman"/>
                <w:bCs/>
                <w:sz w:val="20"/>
                <w:szCs w:val="20"/>
              </w:rPr>
              <w:t xml:space="preserve">.g. sastoji se od materijalnih rashoda, rashoda za nabavu </w:t>
            </w:r>
            <w:proofErr w:type="spellStart"/>
            <w:r w:rsidRPr="009E0336">
              <w:rPr>
                <w:rFonts w:ascii="Times New Roman" w:hAnsi="Times New Roman" w:cs="Times New Roman"/>
                <w:bCs/>
                <w:sz w:val="20"/>
                <w:szCs w:val="20"/>
              </w:rPr>
              <w:t>neproizvedene</w:t>
            </w:r>
            <w:proofErr w:type="spellEnd"/>
            <w:r w:rsidRPr="009E0336">
              <w:rPr>
                <w:rFonts w:ascii="Times New Roman" w:hAnsi="Times New Roman" w:cs="Times New Roman"/>
                <w:bCs/>
                <w:sz w:val="20"/>
                <w:szCs w:val="20"/>
              </w:rPr>
              <w:t xml:space="preserve"> dugotrajne imovine i rashoda za nabavu proizvedene dugotrajne imovine koji se financiraju iz:</w:t>
            </w:r>
          </w:p>
          <w:p w14:paraId="2012915D" w14:textId="3BDC74C3" w:rsidR="00FA6BF1" w:rsidRPr="009E0336" w:rsidRDefault="00091387" w:rsidP="00C97AA2">
            <w:pPr>
              <w:pStyle w:val="Odlomakpopisa"/>
              <w:numPr>
                <w:ilvl w:val="0"/>
                <w:numId w:val="12"/>
              </w:numPr>
              <w:spacing w:line="240" w:lineRule="auto"/>
              <w:jc w:val="both"/>
              <w:rPr>
                <w:rFonts w:ascii="Times New Roman" w:hAnsi="Times New Roman" w:cs="Times New Roman"/>
                <w:sz w:val="20"/>
                <w:szCs w:val="20"/>
              </w:rPr>
            </w:pPr>
            <w:r w:rsidRPr="009E0336">
              <w:rPr>
                <w:rFonts w:ascii="Times New Roman" w:hAnsi="Times New Roman" w:cs="Times New Roman"/>
                <w:bCs/>
                <w:sz w:val="20"/>
                <w:szCs w:val="20"/>
              </w:rPr>
              <w:t xml:space="preserve">decentralizirana sredstva u iznosu od </w:t>
            </w:r>
            <w:r w:rsidR="00A67B9D" w:rsidRPr="009E0336">
              <w:rPr>
                <w:rFonts w:ascii="Times New Roman" w:hAnsi="Times New Roman" w:cs="Times New Roman"/>
                <w:bCs/>
                <w:sz w:val="20"/>
                <w:szCs w:val="20"/>
              </w:rPr>
              <w:t>1.742.36</w:t>
            </w:r>
            <w:r w:rsidR="00C97F9A" w:rsidRPr="009E0336">
              <w:rPr>
                <w:rFonts w:ascii="Times New Roman" w:hAnsi="Times New Roman" w:cs="Times New Roman"/>
                <w:bCs/>
                <w:sz w:val="20"/>
                <w:szCs w:val="20"/>
              </w:rPr>
              <w:t>8,00</w:t>
            </w:r>
            <w:r w:rsidRPr="009E0336">
              <w:rPr>
                <w:rFonts w:ascii="Times New Roman" w:hAnsi="Times New Roman" w:cs="Times New Roman"/>
                <w:bCs/>
                <w:sz w:val="20"/>
                <w:szCs w:val="20"/>
              </w:rPr>
              <w:t xml:space="preserve"> </w:t>
            </w:r>
            <w:r w:rsidRPr="009E0336">
              <w:rPr>
                <w:rFonts w:ascii="Times New Roman" w:hAnsi="Times New Roman" w:cs="Times New Roman"/>
                <w:bCs/>
                <w:color w:val="000000"/>
                <w:kern w:val="0"/>
                <w:sz w:val="20"/>
                <w:szCs w:val="20"/>
              </w:rPr>
              <w:t xml:space="preserve">€ </w:t>
            </w:r>
            <w:r w:rsidR="00C97F9A" w:rsidRPr="009E0336">
              <w:rPr>
                <w:rFonts w:ascii="Times New Roman" w:hAnsi="Times New Roman" w:cs="Times New Roman"/>
                <w:bCs/>
                <w:color w:val="000000"/>
                <w:kern w:val="0"/>
                <w:sz w:val="20"/>
                <w:szCs w:val="20"/>
              </w:rPr>
              <w:t>u 2025.g., 2026.g. i u 2027.g.</w:t>
            </w:r>
            <w:r w:rsidRPr="009E0336">
              <w:rPr>
                <w:rFonts w:ascii="Times New Roman" w:hAnsi="Times New Roman" w:cs="Times New Roman"/>
                <w:bCs/>
                <w:color w:val="000000"/>
                <w:kern w:val="0"/>
                <w:sz w:val="20"/>
                <w:szCs w:val="20"/>
              </w:rPr>
              <w:t>,</w:t>
            </w:r>
          </w:p>
          <w:p w14:paraId="035F54E9" w14:textId="74251670" w:rsidR="00FA6BF1" w:rsidRPr="009E0336" w:rsidRDefault="00091387" w:rsidP="00C97AA2">
            <w:pPr>
              <w:numPr>
                <w:ilvl w:val="0"/>
                <w:numId w:val="12"/>
              </w:numPr>
              <w:suppressAutoHyphens w:val="0"/>
              <w:spacing w:line="240" w:lineRule="auto"/>
              <w:jc w:val="both"/>
              <w:rPr>
                <w:rFonts w:ascii="Times New Roman" w:hAnsi="Times New Roman" w:cs="Times New Roman"/>
                <w:sz w:val="20"/>
                <w:szCs w:val="20"/>
              </w:rPr>
            </w:pPr>
            <w:r w:rsidRPr="009E0336">
              <w:rPr>
                <w:rFonts w:ascii="Times New Roman" w:hAnsi="Times New Roman" w:cs="Times New Roman"/>
                <w:sz w:val="20"/>
                <w:szCs w:val="20"/>
              </w:rPr>
              <w:t xml:space="preserve">matičnih sredstava SDŽ u iznosu od </w:t>
            </w:r>
            <w:r w:rsidR="00C97F9A" w:rsidRPr="009E0336">
              <w:rPr>
                <w:rFonts w:ascii="Times New Roman" w:hAnsi="Times New Roman" w:cs="Times New Roman"/>
                <w:sz w:val="20"/>
                <w:szCs w:val="20"/>
              </w:rPr>
              <w:t>1.213.995,94</w:t>
            </w:r>
            <w:r w:rsidRPr="009E0336">
              <w:rPr>
                <w:rFonts w:ascii="Times New Roman" w:hAnsi="Times New Roman" w:cs="Times New Roman"/>
                <w:sz w:val="20"/>
                <w:szCs w:val="20"/>
              </w:rPr>
              <w:t xml:space="preserve"> </w:t>
            </w:r>
            <w:r w:rsidRPr="009E0336">
              <w:rPr>
                <w:rFonts w:ascii="Times New Roman" w:hAnsi="Times New Roman" w:cs="Times New Roman"/>
                <w:bCs/>
                <w:color w:val="000000"/>
                <w:kern w:val="0"/>
                <w:sz w:val="20"/>
                <w:szCs w:val="20"/>
              </w:rPr>
              <w:t>€ u 202</w:t>
            </w:r>
            <w:r w:rsidR="00C97F9A" w:rsidRPr="009E0336">
              <w:rPr>
                <w:rFonts w:ascii="Times New Roman" w:hAnsi="Times New Roman" w:cs="Times New Roman"/>
                <w:bCs/>
                <w:color w:val="000000"/>
                <w:kern w:val="0"/>
                <w:sz w:val="20"/>
                <w:szCs w:val="20"/>
              </w:rPr>
              <w:t>5</w:t>
            </w:r>
            <w:r w:rsidRPr="009E0336">
              <w:rPr>
                <w:rFonts w:ascii="Times New Roman" w:hAnsi="Times New Roman" w:cs="Times New Roman"/>
                <w:bCs/>
                <w:color w:val="000000"/>
                <w:kern w:val="0"/>
                <w:sz w:val="20"/>
                <w:szCs w:val="20"/>
              </w:rPr>
              <w:t xml:space="preserve">.g. te </w:t>
            </w:r>
            <w:r w:rsidR="00A67B9D" w:rsidRPr="009E0336">
              <w:rPr>
                <w:rFonts w:ascii="Times New Roman" w:hAnsi="Times New Roman" w:cs="Times New Roman"/>
                <w:bCs/>
                <w:color w:val="000000"/>
                <w:kern w:val="0"/>
                <w:sz w:val="20"/>
                <w:szCs w:val="20"/>
              </w:rPr>
              <w:t xml:space="preserve">u iznosu od </w:t>
            </w:r>
            <w:r w:rsidR="00C97F9A" w:rsidRPr="009E0336">
              <w:rPr>
                <w:rFonts w:ascii="Times New Roman" w:hAnsi="Times New Roman" w:cs="Times New Roman"/>
                <w:bCs/>
                <w:color w:val="000000"/>
                <w:kern w:val="0"/>
                <w:sz w:val="20"/>
                <w:szCs w:val="20"/>
              </w:rPr>
              <w:t xml:space="preserve">1.565.632,00 </w:t>
            </w:r>
            <w:r w:rsidR="00A67B9D" w:rsidRPr="009E0336">
              <w:rPr>
                <w:rFonts w:ascii="Times New Roman" w:hAnsi="Times New Roman" w:cs="Times New Roman"/>
                <w:bCs/>
                <w:color w:val="000000"/>
                <w:kern w:val="0"/>
                <w:sz w:val="20"/>
                <w:szCs w:val="20"/>
              </w:rPr>
              <w:t>€ u 202</w:t>
            </w:r>
            <w:r w:rsidR="00C97F9A" w:rsidRPr="009E0336">
              <w:rPr>
                <w:rFonts w:ascii="Times New Roman" w:hAnsi="Times New Roman" w:cs="Times New Roman"/>
                <w:bCs/>
                <w:color w:val="000000"/>
                <w:kern w:val="0"/>
                <w:sz w:val="20"/>
                <w:szCs w:val="20"/>
              </w:rPr>
              <w:t>6</w:t>
            </w:r>
            <w:r w:rsidR="00A67B9D" w:rsidRPr="009E0336">
              <w:rPr>
                <w:rFonts w:ascii="Times New Roman" w:hAnsi="Times New Roman" w:cs="Times New Roman"/>
                <w:bCs/>
                <w:color w:val="000000"/>
                <w:kern w:val="0"/>
                <w:sz w:val="20"/>
                <w:szCs w:val="20"/>
              </w:rPr>
              <w:t>.g.</w:t>
            </w:r>
            <w:r w:rsidR="00C97F9A" w:rsidRPr="009E0336">
              <w:rPr>
                <w:rFonts w:ascii="Times New Roman" w:hAnsi="Times New Roman" w:cs="Times New Roman"/>
                <w:bCs/>
                <w:color w:val="000000"/>
                <w:kern w:val="0"/>
                <w:sz w:val="20"/>
                <w:szCs w:val="20"/>
              </w:rPr>
              <w:t xml:space="preserve"> i u 2027.g.</w:t>
            </w:r>
            <w:r w:rsidRPr="009E0336">
              <w:rPr>
                <w:rFonts w:ascii="Times New Roman" w:hAnsi="Times New Roman" w:cs="Times New Roman"/>
                <w:bCs/>
                <w:color w:val="000000"/>
                <w:kern w:val="0"/>
                <w:sz w:val="20"/>
                <w:szCs w:val="20"/>
              </w:rPr>
              <w:t>,</w:t>
            </w:r>
          </w:p>
          <w:p w14:paraId="7B4923FD" w14:textId="277A3FD4" w:rsidR="00FA6BF1" w:rsidRPr="009E0336" w:rsidRDefault="00091387" w:rsidP="00C97AA2">
            <w:pPr>
              <w:numPr>
                <w:ilvl w:val="0"/>
                <w:numId w:val="12"/>
              </w:numPr>
              <w:suppressAutoHyphens w:val="0"/>
              <w:spacing w:line="240" w:lineRule="auto"/>
              <w:jc w:val="both"/>
              <w:rPr>
                <w:rFonts w:ascii="Times New Roman" w:hAnsi="Times New Roman" w:cs="Times New Roman"/>
                <w:sz w:val="20"/>
                <w:szCs w:val="20"/>
              </w:rPr>
            </w:pPr>
            <w:r w:rsidRPr="009E0336">
              <w:rPr>
                <w:rFonts w:ascii="Times New Roman" w:hAnsi="Times New Roman" w:cs="Times New Roman"/>
                <w:bCs/>
                <w:sz w:val="20"/>
                <w:szCs w:val="20"/>
              </w:rPr>
              <w:t xml:space="preserve">vlastitih prihoda </w:t>
            </w:r>
            <w:r w:rsidR="007E28A5" w:rsidRPr="009E0336">
              <w:rPr>
                <w:rFonts w:ascii="Times New Roman" w:hAnsi="Times New Roman" w:cs="Times New Roman"/>
                <w:bCs/>
                <w:sz w:val="20"/>
                <w:szCs w:val="20"/>
              </w:rPr>
              <w:t>Zavoda</w:t>
            </w:r>
            <w:r w:rsidRPr="009E0336">
              <w:rPr>
                <w:rFonts w:ascii="Times New Roman" w:hAnsi="Times New Roman" w:cs="Times New Roman"/>
                <w:bCs/>
                <w:sz w:val="20"/>
                <w:szCs w:val="20"/>
              </w:rPr>
              <w:t xml:space="preserve"> u iznosu od </w:t>
            </w:r>
            <w:r w:rsidR="00845C4C" w:rsidRPr="009E0336">
              <w:rPr>
                <w:rFonts w:ascii="Times New Roman" w:hAnsi="Times New Roman" w:cs="Times New Roman"/>
                <w:bCs/>
                <w:sz w:val="20"/>
                <w:szCs w:val="20"/>
              </w:rPr>
              <w:t>15</w:t>
            </w:r>
            <w:r w:rsidR="00C97F9A" w:rsidRPr="009E0336">
              <w:rPr>
                <w:rFonts w:ascii="Times New Roman" w:hAnsi="Times New Roman" w:cs="Times New Roman"/>
                <w:bCs/>
                <w:sz w:val="20"/>
                <w:szCs w:val="20"/>
              </w:rPr>
              <w:t>4.000,00</w:t>
            </w:r>
            <w:r w:rsidRPr="009E0336">
              <w:rPr>
                <w:rFonts w:ascii="Times New Roman" w:hAnsi="Times New Roman" w:cs="Times New Roman"/>
                <w:bCs/>
                <w:sz w:val="20"/>
                <w:szCs w:val="20"/>
              </w:rPr>
              <w:t xml:space="preserve"> </w:t>
            </w:r>
            <w:r w:rsidRPr="009E0336">
              <w:rPr>
                <w:rFonts w:ascii="Times New Roman" w:hAnsi="Times New Roman" w:cs="Times New Roman"/>
                <w:bCs/>
                <w:color w:val="000000"/>
                <w:kern w:val="0"/>
                <w:sz w:val="20"/>
                <w:szCs w:val="20"/>
              </w:rPr>
              <w:t>€</w:t>
            </w:r>
            <w:r w:rsidRPr="009E0336">
              <w:rPr>
                <w:rFonts w:ascii="Times New Roman" w:hAnsi="Times New Roman" w:cs="Times New Roman"/>
                <w:bCs/>
                <w:color w:val="000000"/>
                <w:sz w:val="20"/>
                <w:szCs w:val="20"/>
              </w:rPr>
              <w:t xml:space="preserve"> u 202</w:t>
            </w:r>
            <w:r w:rsidR="00C97F9A" w:rsidRPr="009E0336">
              <w:rPr>
                <w:rFonts w:ascii="Times New Roman" w:hAnsi="Times New Roman" w:cs="Times New Roman"/>
                <w:bCs/>
                <w:color w:val="000000"/>
                <w:sz w:val="20"/>
                <w:szCs w:val="20"/>
              </w:rPr>
              <w:t>5</w:t>
            </w:r>
            <w:r w:rsidRPr="009E0336">
              <w:rPr>
                <w:rFonts w:ascii="Times New Roman" w:hAnsi="Times New Roman" w:cs="Times New Roman"/>
                <w:bCs/>
                <w:color w:val="000000"/>
                <w:sz w:val="20"/>
                <w:szCs w:val="20"/>
              </w:rPr>
              <w:t>.g.</w:t>
            </w:r>
            <w:r w:rsidRPr="009E0336">
              <w:rPr>
                <w:rFonts w:ascii="Times New Roman" w:hAnsi="Times New Roman" w:cs="Times New Roman"/>
                <w:bCs/>
                <w:sz w:val="20"/>
                <w:szCs w:val="20"/>
              </w:rPr>
              <w:t xml:space="preserve">, </w:t>
            </w:r>
            <w:r w:rsidR="00C97F9A" w:rsidRPr="009E0336">
              <w:rPr>
                <w:rFonts w:ascii="Times New Roman" w:hAnsi="Times New Roman" w:cs="Times New Roman"/>
                <w:bCs/>
                <w:sz w:val="20"/>
                <w:szCs w:val="20"/>
              </w:rPr>
              <w:t>159.000,00</w:t>
            </w:r>
            <w:r w:rsidRPr="009E0336">
              <w:rPr>
                <w:rFonts w:ascii="Times New Roman" w:hAnsi="Times New Roman" w:cs="Times New Roman"/>
                <w:bCs/>
                <w:sz w:val="20"/>
                <w:szCs w:val="20"/>
              </w:rPr>
              <w:t xml:space="preserve"> </w:t>
            </w:r>
            <w:r w:rsidRPr="009E0336">
              <w:rPr>
                <w:rFonts w:ascii="Times New Roman" w:hAnsi="Times New Roman" w:cs="Times New Roman"/>
                <w:bCs/>
                <w:color w:val="000000"/>
                <w:kern w:val="0"/>
                <w:sz w:val="20"/>
                <w:szCs w:val="20"/>
              </w:rPr>
              <w:t>€ u 202</w:t>
            </w:r>
            <w:r w:rsidR="00C97F9A" w:rsidRPr="009E0336">
              <w:rPr>
                <w:rFonts w:ascii="Times New Roman" w:hAnsi="Times New Roman" w:cs="Times New Roman"/>
                <w:bCs/>
                <w:color w:val="000000"/>
                <w:kern w:val="0"/>
                <w:sz w:val="20"/>
                <w:szCs w:val="20"/>
              </w:rPr>
              <w:t>6</w:t>
            </w:r>
            <w:r w:rsidRPr="009E0336">
              <w:rPr>
                <w:rFonts w:ascii="Times New Roman" w:hAnsi="Times New Roman" w:cs="Times New Roman"/>
                <w:bCs/>
                <w:color w:val="000000"/>
                <w:kern w:val="0"/>
                <w:sz w:val="20"/>
                <w:szCs w:val="20"/>
              </w:rPr>
              <w:t xml:space="preserve">.g. i  </w:t>
            </w:r>
            <w:r w:rsidR="00845C4C" w:rsidRPr="009E0336">
              <w:rPr>
                <w:rFonts w:ascii="Times New Roman" w:hAnsi="Times New Roman" w:cs="Times New Roman"/>
                <w:bCs/>
                <w:color w:val="000000"/>
                <w:kern w:val="0"/>
                <w:sz w:val="20"/>
                <w:szCs w:val="20"/>
              </w:rPr>
              <w:t>16</w:t>
            </w:r>
            <w:r w:rsidR="00C97F9A" w:rsidRPr="009E0336">
              <w:rPr>
                <w:rFonts w:ascii="Times New Roman" w:hAnsi="Times New Roman" w:cs="Times New Roman"/>
                <w:bCs/>
                <w:color w:val="000000"/>
                <w:kern w:val="0"/>
                <w:sz w:val="20"/>
                <w:szCs w:val="20"/>
              </w:rPr>
              <w:t>4.000,00</w:t>
            </w:r>
            <w:r w:rsidRPr="009E0336">
              <w:rPr>
                <w:rFonts w:ascii="Times New Roman" w:hAnsi="Times New Roman" w:cs="Times New Roman"/>
                <w:bCs/>
                <w:color w:val="000000"/>
                <w:kern w:val="0"/>
                <w:sz w:val="20"/>
                <w:szCs w:val="20"/>
              </w:rPr>
              <w:t xml:space="preserve"> € u 202</w:t>
            </w:r>
            <w:r w:rsidR="00C97F9A" w:rsidRPr="009E0336">
              <w:rPr>
                <w:rFonts w:ascii="Times New Roman" w:hAnsi="Times New Roman" w:cs="Times New Roman"/>
                <w:bCs/>
                <w:color w:val="000000"/>
                <w:kern w:val="0"/>
                <w:sz w:val="20"/>
                <w:szCs w:val="20"/>
              </w:rPr>
              <w:t>7</w:t>
            </w:r>
            <w:r w:rsidRPr="009E0336">
              <w:rPr>
                <w:rFonts w:ascii="Times New Roman" w:hAnsi="Times New Roman" w:cs="Times New Roman"/>
                <w:bCs/>
                <w:color w:val="000000"/>
                <w:kern w:val="0"/>
                <w:sz w:val="20"/>
                <w:szCs w:val="20"/>
              </w:rPr>
              <w:t>.g.</w:t>
            </w:r>
            <w:r w:rsidRPr="009E0336">
              <w:rPr>
                <w:rFonts w:ascii="Times New Roman" w:hAnsi="Times New Roman" w:cs="Times New Roman"/>
                <w:bCs/>
                <w:sz w:val="20"/>
                <w:szCs w:val="20"/>
              </w:rPr>
              <w:t>,</w:t>
            </w:r>
          </w:p>
          <w:p w14:paraId="3FF6ADB3" w14:textId="33B67BBD" w:rsidR="00FA6BF1" w:rsidRPr="009E0336" w:rsidRDefault="00091387" w:rsidP="00C97AA2">
            <w:pPr>
              <w:pStyle w:val="Odlomakpopisa"/>
              <w:numPr>
                <w:ilvl w:val="0"/>
                <w:numId w:val="12"/>
              </w:numPr>
              <w:snapToGrid w:val="0"/>
              <w:spacing w:line="240" w:lineRule="auto"/>
              <w:jc w:val="both"/>
              <w:rPr>
                <w:rFonts w:ascii="Times New Roman" w:hAnsi="Times New Roman" w:cs="Times New Roman"/>
                <w:sz w:val="20"/>
                <w:szCs w:val="20"/>
              </w:rPr>
            </w:pPr>
            <w:r w:rsidRPr="009E0336">
              <w:rPr>
                <w:rFonts w:ascii="Times New Roman" w:hAnsi="Times New Roman" w:cs="Times New Roman"/>
                <w:bCs/>
                <w:sz w:val="20"/>
                <w:szCs w:val="20"/>
              </w:rPr>
              <w:t xml:space="preserve">prihoda od prodaje nefinancijske imovine i refundacija šteta u iznosu od </w:t>
            </w:r>
            <w:r w:rsidR="00C97F9A" w:rsidRPr="009E0336">
              <w:rPr>
                <w:rFonts w:ascii="Times New Roman" w:hAnsi="Times New Roman" w:cs="Times New Roman"/>
                <w:bCs/>
                <w:sz w:val="20"/>
                <w:szCs w:val="20"/>
              </w:rPr>
              <w:t>30.636,06</w:t>
            </w:r>
            <w:r w:rsidRPr="009E0336">
              <w:rPr>
                <w:rFonts w:ascii="Times New Roman" w:hAnsi="Times New Roman" w:cs="Times New Roman"/>
                <w:bCs/>
                <w:sz w:val="20"/>
                <w:szCs w:val="20"/>
              </w:rPr>
              <w:t xml:space="preserve"> </w:t>
            </w:r>
            <w:r w:rsidRPr="009E0336">
              <w:rPr>
                <w:rFonts w:ascii="Times New Roman" w:hAnsi="Times New Roman" w:cs="Times New Roman"/>
                <w:bCs/>
                <w:color w:val="000000"/>
                <w:kern w:val="0"/>
                <w:sz w:val="20"/>
                <w:szCs w:val="20"/>
              </w:rPr>
              <w:t>€ u 202</w:t>
            </w:r>
            <w:r w:rsidR="00C97F9A" w:rsidRPr="009E0336">
              <w:rPr>
                <w:rFonts w:ascii="Times New Roman" w:hAnsi="Times New Roman" w:cs="Times New Roman"/>
                <w:bCs/>
                <w:color w:val="000000"/>
                <w:kern w:val="0"/>
                <w:sz w:val="20"/>
                <w:szCs w:val="20"/>
              </w:rPr>
              <w:t>5</w:t>
            </w:r>
            <w:r w:rsidRPr="009E0336">
              <w:rPr>
                <w:rFonts w:ascii="Times New Roman" w:hAnsi="Times New Roman" w:cs="Times New Roman"/>
                <w:bCs/>
                <w:color w:val="000000"/>
                <w:kern w:val="0"/>
                <w:sz w:val="20"/>
                <w:szCs w:val="20"/>
              </w:rPr>
              <w:t xml:space="preserve">.g., </w:t>
            </w:r>
            <w:r w:rsidR="00845C4C" w:rsidRPr="009E0336">
              <w:rPr>
                <w:rFonts w:ascii="Times New Roman" w:hAnsi="Times New Roman" w:cs="Times New Roman"/>
                <w:bCs/>
                <w:color w:val="000000"/>
                <w:kern w:val="0"/>
                <w:sz w:val="20"/>
                <w:szCs w:val="20"/>
              </w:rPr>
              <w:t>3</w:t>
            </w:r>
            <w:r w:rsidR="00C97F9A" w:rsidRPr="009E0336">
              <w:rPr>
                <w:rFonts w:ascii="Times New Roman" w:hAnsi="Times New Roman" w:cs="Times New Roman"/>
                <w:bCs/>
                <w:color w:val="000000"/>
                <w:kern w:val="0"/>
                <w:sz w:val="20"/>
                <w:szCs w:val="20"/>
              </w:rPr>
              <w:t>2</w:t>
            </w:r>
            <w:r w:rsidR="00845C4C" w:rsidRPr="009E0336">
              <w:rPr>
                <w:rFonts w:ascii="Times New Roman" w:hAnsi="Times New Roman" w:cs="Times New Roman"/>
                <w:bCs/>
                <w:color w:val="000000"/>
                <w:kern w:val="0"/>
                <w:sz w:val="20"/>
                <w:szCs w:val="20"/>
              </w:rPr>
              <w:t>.</w:t>
            </w:r>
            <w:r w:rsidR="00C97F9A" w:rsidRPr="009E0336">
              <w:rPr>
                <w:rFonts w:ascii="Times New Roman" w:hAnsi="Times New Roman" w:cs="Times New Roman"/>
                <w:bCs/>
                <w:color w:val="000000"/>
                <w:kern w:val="0"/>
                <w:sz w:val="20"/>
                <w:szCs w:val="20"/>
              </w:rPr>
              <w:t>0</w:t>
            </w:r>
            <w:r w:rsidR="00845C4C" w:rsidRPr="009E0336">
              <w:rPr>
                <w:rFonts w:ascii="Times New Roman" w:hAnsi="Times New Roman" w:cs="Times New Roman"/>
                <w:bCs/>
                <w:color w:val="000000"/>
                <w:kern w:val="0"/>
                <w:sz w:val="20"/>
                <w:szCs w:val="20"/>
              </w:rPr>
              <w:t>00,00 € u 202</w:t>
            </w:r>
            <w:r w:rsidR="00C97F9A" w:rsidRPr="009E0336">
              <w:rPr>
                <w:rFonts w:ascii="Times New Roman" w:hAnsi="Times New Roman" w:cs="Times New Roman"/>
                <w:bCs/>
                <w:color w:val="000000"/>
                <w:kern w:val="0"/>
                <w:sz w:val="20"/>
                <w:szCs w:val="20"/>
              </w:rPr>
              <w:t>6</w:t>
            </w:r>
            <w:r w:rsidR="00845C4C" w:rsidRPr="009E0336">
              <w:rPr>
                <w:rFonts w:ascii="Times New Roman" w:hAnsi="Times New Roman" w:cs="Times New Roman"/>
                <w:bCs/>
                <w:color w:val="000000"/>
                <w:kern w:val="0"/>
                <w:sz w:val="20"/>
                <w:szCs w:val="20"/>
              </w:rPr>
              <w:t xml:space="preserve">.g. i </w:t>
            </w:r>
            <w:r w:rsidR="00C97F9A" w:rsidRPr="009E0336">
              <w:rPr>
                <w:rFonts w:ascii="Times New Roman" w:hAnsi="Times New Roman" w:cs="Times New Roman"/>
                <w:bCs/>
                <w:color w:val="000000"/>
                <w:kern w:val="0"/>
                <w:sz w:val="20"/>
                <w:szCs w:val="20"/>
              </w:rPr>
              <w:t>34.000,00</w:t>
            </w:r>
            <w:r w:rsidR="00845C4C" w:rsidRPr="009E0336">
              <w:rPr>
                <w:rFonts w:ascii="Times New Roman" w:hAnsi="Times New Roman" w:cs="Times New Roman"/>
                <w:bCs/>
                <w:color w:val="000000"/>
                <w:kern w:val="0"/>
                <w:sz w:val="20"/>
                <w:szCs w:val="20"/>
              </w:rPr>
              <w:t xml:space="preserve"> € u 202</w:t>
            </w:r>
            <w:r w:rsidR="00C97F9A" w:rsidRPr="009E0336">
              <w:rPr>
                <w:rFonts w:ascii="Times New Roman" w:hAnsi="Times New Roman" w:cs="Times New Roman"/>
                <w:bCs/>
                <w:color w:val="000000"/>
                <w:kern w:val="0"/>
                <w:sz w:val="20"/>
                <w:szCs w:val="20"/>
              </w:rPr>
              <w:t>7</w:t>
            </w:r>
            <w:r w:rsidR="00845C4C" w:rsidRPr="009E0336">
              <w:rPr>
                <w:rFonts w:ascii="Times New Roman" w:hAnsi="Times New Roman" w:cs="Times New Roman"/>
                <w:bCs/>
                <w:color w:val="000000"/>
                <w:kern w:val="0"/>
                <w:sz w:val="20"/>
                <w:szCs w:val="20"/>
              </w:rPr>
              <w:t>.g.</w:t>
            </w:r>
          </w:p>
        </w:tc>
      </w:tr>
      <w:tr w:rsidR="00FA6BF1" w:rsidRPr="009E0336" w14:paraId="327E6858" w14:textId="77777777" w:rsidTr="00C97AA2">
        <w:trPr>
          <w:trHeight w:val="257"/>
        </w:trPr>
        <w:tc>
          <w:tcPr>
            <w:tcW w:w="123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746D325" w14:textId="77777777" w:rsidR="00FA6BF1" w:rsidRPr="009E0336" w:rsidRDefault="00091387">
            <w:pPr>
              <w:pStyle w:val="Standard"/>
              <w:spacing w:line="276" w:lineRule="auto"/>
              <w:rPr>
                <w:sz w:val="20"/>
                <w:szCs w:val="20"/>
              </w:rPr>
            </w:pPr>
            <w:r w:rsidRPr="009E0336">
              <w:rPr>
                <w:b/>
                <w:bCs/>
                <w:color w:val="000000"/>
                <w:sz w:val="20"/>
                <w:szCs w:val="20"/>
                <w:lang w:eastAsia="en-US"/>
              </w:rPr>
              <w:t>Obrazloženje izračuna financijskih sredstava:</w:t>
            </w:r>
          </w:p>
        </w:tc>
        <w:tc>
          <w:tcPr>
            <w:tcW w:w="816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3F6B04" w14:textId="10B12618" w:rsidR="00C97F9A" w:rsidRPr="009E0336" w:rsidRDefault="00985E1B" w:rsidP="00C97AA2">
            <w:pPr>
              <w:spacing w:line="240" w:lineRule="auto"/>
              <w:jc w:val="both"/>
              <w:rPr>
                <w:rFonts w:ascii="Times New Roman" w:eastAsia="Times New Roman" w:hAnsi="Times New Roman" w:cs="Times New Roman"/>
                <w:bCs/>
                <w:kern w:val="0"/>
                <w:sz w:val="20"/>
                <w:szCs w:val="20"/>
                <w:lang w:eastAsia="ar-SA"/>
              </w:rPr>
            </w:pPr>
            <w:r w:rsidRPr="009E0336">
              <w:rPr>
                <w:rFonts w:ascii="Times New Roman" w:hAnsi="Times New Roman" w:cs="Times New Roman"/>
                <w:iCs/>
                <w:sz w:val="20"/>
                <w:szCs w:val="20"/>
              </w:rPr>
              <w:t>U ovoj aktivnosti u 202</w:t>
            </w:r>
            <w:r w:rsidR="00C97F9A" w:rsidRPr="009E0336">
              <w:rPr>
                <w:rFonts w:ascii="Times New Roman" w:hAnsi="Times New Roman" w:cs="Times New Roman"/>
                <w:iCs/>
                <w:sz w:val="20"/>
                <w:szCs w:val="20"/>
              </w:rPr>
              <w:t>5</w:t>
            </w:r>
            <w:r w:rsidRPr="009E0336">
              <w:rPr>
                <w:rFonts w:ascii="Times New Roman" w:hAnsi="Times New Roman" w:cs="Times New Roman"/>
                <w:iCs/>
                <w:sz w:val="20"/>
                <w:szCs w:val="20"/>
              </w:rPr>
              <w:t xml:space="preserve">.g. planiraju se </w:t>
            </w:r>
            <w:r w:rsidR="00FF50C5" w:rsidRPr="009E0336">
              <w:rPr>
                <w:rFonts w:ascii="Times New Roman" w:hAnsi="Times New Roman" w:cs="Times New Roman"/>
                <w:iCs/>
                <w:sz w:val="20"/>
                <w:szCs w:val="20"/>
              </w:rPr>
              <w:t xml:space="preserve">iz proračuna SDŽ </w:t>
            </w:r>
            <w:r w:rsidRPr="009E0336">
              <w:rPr>
                <w:rFonts w:ascii="Times New Roman" w:hAnsi="Times New Roman" w:cs="Times New Roman"/>
                <w:iCs/>
                <w:sz w:val="20"/>
                <w:szCs w:val="20"/>
              </w:rPr>
              <w:t xml:space="preserve">prihodi </w:t>
            </w:r>
            <w:r w:rsidR="00D5057C" w:rsidRPr="009E0336">
              <w:rPr>
                <w:rFonts w:ascii="Times New Roman" w:hAnsi="Times New Roman" w:cs="Times New Roman"/>
                <w:iCs/>
                <w:sz w:val="20"/>
                <w:szCs w:val="20"/>
              </w:rPr>
              <w:t xml:space="preserve">u iznosu od </w:t>
            </w:r>
            <w:r w:rsidR="00C97F9A" w:rsidRPr="009E0336">
              <w:rPr>
                <w:rFonts w:ascii="Times New Roman" w:hAnsi="Times New Roman" w:cs="Times New Roman"/>
                <w:iCs/>
                <w:sz w:val="20"/>
                <w:szCs w:val="20"/>
              </w:rPr>
              <w:t>1.213.995,94</w:t>
            </w:r>
            <w:r w:rsidR="00D5057C" w:rsidRPr="009E0336">
              <w:rPr>
                <w:rFonts w:ascii="Times New Roman" w:hAnsi="Times New Roman" w:cs="Times New Roman"/>
                <w:iCs/>
                <w:sz w:val="20"/>
                <w:szCs w:val="20"/>
              </w:rPr>
              <w:t xml:space="preserve"> € (</w:t>
            </w:r>
            <w:r w:rsidR="00C97F9A" w:rsidRPr="009E0336">
              <w:rPr>
                <w:rFonts w:ascii="Times New Roman" w:hAnsi="Times New Roman" w:cs="Times New Roman"/>
                <w:iCs/>
                <w:sz w:val="20"/>
                <w:szCs w:val="20"/>
              </w:rPr>
              <w:t>3,7</w:t>
            </w:r>
            <w:r w:rsidR="00D5057C" w:rsidRPr="009E0336">
              <w:rPr>
                <w:rFonts w:ascii="Times New Roman" w:hAnsi="Times New Roman" w:cs="Times New Roman"/>
                <w:iCs/>
                <w:sz w:val="20"/>
                <w:szCs w:val="20"/>
              </w:rPr>
              <w:t xml:space="preserve"> % </w:t>
            </w:r>
            <w:r w:rsidR="00FF50C5" w:rsidRPr="009E0336">
              <w:rPr>
                <w:rFonts w:ascii="Times New Roman" w:hAnsi="Times New Roman" w:cs="Times New Roman"/>
                <w:iCs/>
                <w:sz w:val="20"/>
                <w:szCs w:val="20"/>
              </w:rPr>
              <w:t xml:space="preserve"> </w:t>
            </w:r>
            <w:r w:rsidR="00D5057C" w:rsidRPr="009E0336">
              <w:rPr>
                <w:rFonts w:ascii="Times New Roman" w:hAnsi="Times New Roman" w:cs="Times New Roman"/>
                <w:iCs/>
                <w:sz w:val="20"/>
                <w:szCs w:val="20"/>
              </w:rPr>
              <w:t xml:space="preserve">ukupnog plana) za financiranje </w:t>
            </w:r>
            <w:r w:rsidR="00C97F9A" w:rsidRPr="009E0336">
              <w:rPr>
                <w:rFonts w:ascii="Times New Roman" w:hAnsi="Times New Roman" w:cs="Times New Roman"/>
                <w:iCs/>
                <w:sz w:val="20"/>
                <w:szCs w:val="20"/>
              </w:rPr>
              <w:t xml:space="preserve">djelomične nabave opreme i vozila propisane novim </w:t>
            </w:r>
            <w:r w:rsidR="00C97F9A" w:rsidRPr="009E0336">
              <w:rPr>
                <w:rFonts w:ascii="Times New Roman" w:eastAsia="Symbol" w:hAnsi="Times New Roman" w:cs="Times New Roman"/>
                <w:sz w:val="20"/>
                <w:szCs w:val="20"/>
                <w:lang w:val="pl-PL"/>
              </w:rPr>
              <w:t>Pravilnik</w:t>
            </w:r>
            <w:r w:rsidR="004C4794" w:rsidRPr="009E0336">
              <w:rPr>
                <w:rFonts w:ascii="Times New Roman" w:eastAsia="Symbol" w:hAnsi="Times New Roman" w:cs="Times New Roman"/>
                <w:sz w:val="20"/>
                <w:szCs w:val="20"/>
                <w:lang w:val="pl-PL"/>
              </w:rPr>
              <w:t>om</w:t>
            </w:r>
            <w:r w:rsidR="00C97F9A" w:rsidRPr="009E0336">
              <w:rPr>
                <w:rFonts w:ascii="Times New Roman" w:eastAsia="Symbol" w:hAnsi="Times New Roman" w:cs="Times New Roman"/>
                <w:sz w:val="20"/>
                <w:szCs w:val="20"/>
                <w:lang w:val="pl-PL"/>
              </w:rPr>
              <w:t xml:space="preserve"> o standardima i normativima u pogledu prostora, radnika i medicinsko-tehničke opreme za obavljanje djelatnosti hitne medicine i djelatnosti sanitetskog prijevoza</w:t>
            </w:r>
            <w:r w:rsidR="00C97F9A" w:rsidRPr="009E0336">
              <w:rPr>
                <w:rFonts w:ascii="Times New Roman" w:hAnsi="Times New Roman" w:cs="Times New Roman"/>
                <w:iCs/>
                <w:sz w:val="20"/>
                <w:szCs w:val="20"/>
              </w:rPr>
              <w:t xml:space="preserve"> i usklađenja s proširenom Mrežom hitne medicine i sanitetskog prijevoza (</w:t>
            </w:r>
            <w:r w:rsidR="00C97F9A" w:rsidRPr="009E0336">
              <w:rPr>
                <w:rFonts w:ascii="Times New Roman" w:hAnsi="Times New Roman" w:cs="Times New Roman"/>
                <w:sz w:val="20"/>
                <w:szCs w:val="20"/>
              </w:rPr>
              <w:t xml:space="preserve">adaptacija ispostave Vrgorac 250.000,00 €, nabava trajnih licenci 3.000,00 €, nabava računalne opreme (30 kompleta prijenosnih računala sa programom i pisačem za rad timova na terenu) 100.000,00 €, nabava namještaja i opreme 54.000,00 €, nabava </w:t>
            </w:r>
            <w:proofErr w:type="spellStart"/>
            <w:r w:rsidR="00C97F9A" w:rsidRPr="009E0336">
              <w:rPr>
                <w:rFonts w:ascii="Times New Roman" w:hAnsi="Times New Roman" w:cs="Times New Roman"/>
                <w:sz w:val="20"/>
                <w:szCs w:val="20"/>
              </w:rPr>
              <w:t>tetra</w:t>
            </w:r>
            <w:proofErr w:type="spellEnd"/>
            <w:r w:rsidR="00C97F9A" w:rsidRPr="009E0336">
              <w:rPr>
                <w:rFonts w:ascii="Times New Roman" w:hAnsi="Times New Roman" w:cs="Times New Roman"/>
                <w:sz w:val="20"/>
                <w:szCs w:val="20"/>
              </w:rPr>
              <w:t xml:space="preserve"> radio komunikacijskih uređaja 82.000,00 €, nabava medicinske opreme i uređaja (defibrilator, aspirator, respirator i automatski vanjski defibrilator za sanitetska vozila) 300.000,00 € te nabava </w:t>
            </w:r>
            <w:r w:rsidR="0014550C" w:rsidRPr="009E0336">
              <w:rPr>
                <w:rFonts w:ascii="Times New Roman" w:hAnsi="Times New Roman" w:cs="Times New Roman"/>
                <w:sz w:val="20"/>
                <w:szCs w:val="20"/>
              </w:rPr>
              <w:t>3</w:t>
            </w:r>
            <w:r w:rsidR="00C97F9A" w:rsidRPr="009E0336">
              <w:rPr>
                <w:rFonts w:ascii="Times New Roman" w:hAnsi="Times New Roman" w:cs="Times New Roman"/>
                <w:sz w:val="20"/>
                <w:szCs w:val="20"/>
              </w:rPr>
              <w:t xml:space="preserve"> vozila za hitnu medicinu </w:t>
            </w:r>
            <w:r w:rsidR="0014550C" w:rsidRPr="009E0336">
              <w:rPr>
                <w:rFonts w:ascii="Times New Roman" w:hAnsi="Times New Roman" w:cs="Times New Roman"/>
                <w:sz w:val="20"/>
                <w:szCs w:val="20"/>
              </w:rPr>
              <w:t>424.995,94</w:t>
            </w:r>
            <w:r w:rsidR="00C97F9A" w:rsidRPr="009E0336">
              <w:rPr>
                <w:rFonts w:ascii="Times New Roman" w:hAnsi="Times New Roman" w:cs="Times New Roman"/>
                <w:sz w:val="20"/>
                <w:szCs w:val="20"/>
              </w:rPr>
              <w:t xml:space="preserve"> €),</w:t>
            </w:r>
            <w:r w:rsidR="00D5057C" w:rsidRPr="009E0336">
              <w:rPr>
                <w:rFonts w:ascii="Times New Roman" w:hAnsi="Times New Roman" w:cs="Times New Roman"/>
                <w:iCs/>
                <w:sz w:val="20"/>
                <w:szCs w:val="20"/>
              </w:rPr>
              <w:t xml:space="preserve"> </w:t>
            </w:r>
            <w:r w:rsidR="00FF50C5" w:rsidRPr="009E0336">
              <w:rPr>
                <w:rFonts w:ascii="Times New Roman" w:hAnsi="Times New Roman" w:cs="Times New Roman"/>
                <w:iCs/>
                <w:sz w:val="20"/>
                <w:szCs w:val="20"/>
              </w:rPr>
              <w:t xml:space="preserve"> iz vlastitih prihoda </w:t>
            </w:r>
            <w:r w:rsidR="00D5057C" w:rsidRPr="009E0336">
              <w:rPr>
                <w:rFonts w:ascii="Times New Roman" w:hAnsi="Times New Roman" w:cs="Times New Roman"/>
                <w:iCs/>
                <w:sz w:val="20"/>
                <w:szCs w:val="20"/>
              </w:rPr>
              <w:t>15</w:t>
            </w:r>
            <w:r w:rsidR="00C97F9A" w:rsidRPr="009E0336">
              <w:rPr>
                <w:rFonts w:ascii="Times New Roman" w:hAnsi="Times New Roman" w:cs="Times New Roman"/>
                <w:iCs/>
                <w:sz w:val="20"/>
                <w:szCs w:val="20"/>
              </w:rPr>
              <w:t>4</w:t>
            </w:r>
            <w:r w:rsidR="00D5057C" w:rsidRPr="009E0336">
              <w:rPr>
                <w:rFonts w:ascii="Times New Roman" w:hAnsi="Times New Roman" w:cs="Times New Roman"/>
                <w:iCs/>
                <w:sz w:val="20"/>
                <w:szCs w:val="20"/>
              </w:rPr>
              <w:t>.</w:t>
            </w:r>
            <w:r w:rsidR="00C97F9A" w:rsidRPr="009E0336">
              <w:rPr>
                <w:rFonts w:ascii="Times New Roman" w:hAnsi="Times New Roman" w:cs="Times New Roman"/>
                <w:iCs/>
                <w:sz w:val="20"/>
                <w:szCs w:val="20"/>
              </w:rPr>
              <w:t>000,00</w:t>
            </w:r>
            <w:r w:rsidR="00D5057C" w:rsidRPr="009E0336">
              <w:rPr>
                <w:rFonts w:ascii="Times New Roman" w:hAnsi="Times New Roman" w:cs="Times New Roman"/>
                <w:iCs/>
                <w:sz w:val="20"/>
                <w:szCs w:val="20"/>
              </w:rPr>
              <w:t xml:space="preserve"> € (0,</w:t>
            </w:r>
            <w:r w:rsidR="00C97F9A" w:rsidRPr="009E0336">
              <w:rPr>
                <w:rFonts w:ascii="Times New Roman" w:hAnsi="Times New Roman" w:cs="Times New Roman"/>
                <w:iCs/>
                <w:sz w:val="20"/>
                <w:szCs w:val="20"/>
              </w:rPr>
              <w:t>5</w:t>
            </w:r>
            <w:r w:rsidR="00D5057C" w:rsidRPr="009E0336">
              <w:rPr>
                <w:rFonts w:ascii="Times New Roman" w:hAnsi="Times New Roman" w:cs="Times New Roman"/>
                <w:iCs/>
                <w:sz w:val="20"/>
                <w:szCs w:val="20"/>
              </w:rPr>
              <w:t xml:space="preserve"> % ukupnog plana</w:t>
            </w:r>
            <w:r w:rsidR="00FF50C5" w:rsidRPr="009E0336">
              <w:rPr>
                <w:rFonts w:ascii="Times New Roman" w:hAnsi="Times New Roman" w:cs="Times New Roman"/>
                <w:iCs/>
                <w:sz w:val="20"/>
                <w:szCs w:val="20"/>
              </w:rPr>
              <w:t>)</w:t>
            </w:r>
            <w:r w:rsidR="00D5057C" w:rsidRPr="009E0336">
              <w:rPr>
                <w:rFonts w:ascii="Times New Roman" w:hAnsi="Times New Roman" w:cs="Times New Roman"/>
                <w:iCs/>
                <w:sz w:val="20"/>
                <w:szCs w:val="20"/>
              </w:rPr>
              <w:t xml:space="preserve"> za financiranje rashoda </w:t>
            </w:r>
            <w:r w:rsidR="00CB5981" w:rsidRPr="009E0336">
              <w:rPr>
                <w:rFonts w:ascii="Times New Roman" w:hAnsi="Times New Roman" w:cs="Times New Roman"/>
                <w:iCs/>
                <w:sz w:val="20"/>
                <w:szCs w:val="20"/>
              </w:rPr>
              <w:t>nabave dugotrajne imovine</w:t>
            </w:r>
            <w:r w:rsidR="00D5057C" w:rsidRPr="009E0336">
              <w:rPr>
                <w:rFonts w:ascii="Times New Roman" w:hAnsi="Times New Roman" w:cs="Times New Roman"/>
                <w:iCs/>
                <w:sz w:val="20"/>
                <w:szCs w:val="20"/>
              </w:rPr>
              <w:t xml:space="preserve">, </w:t>
            </w:r>
            <w:r w:rsidR="00FF50C5" w:rsidRPr="009E0336">
              <w:rPr>
                <w:rFonts w:ascii="Times New Roman" w:hAnsi="Times New Roman" w:cs="Times New Roman"/>
                <w:iCs/>
                <w:sz w:val="20"/>
                <w:szCs w:val="20"/>
              </w:rPr>
              <w:t xml:space="preserve">iz decentraliziranih sredstava </w:t>
            </w:r>
            <w:r w:rsidR="00CB5981" w:rsidRPr="009E0336">
              <w:rPr>
                <w:rFonts w:ascii="Times New Roman" w:hAnsi="Times New Roman" w:cs="Times New Roman"/>
                <w:iCs/>
                <w:sz w:val="20"/>
                <w:szCs w:val="20"/>
              </w:rPr>
              <w:t>1.742.36</w:t>
            </w:r>
            <w:r w:rsidR="00C97F9A" w:rsidRPr="009E0336">
              <w:rPr>
                <w:rFonts w:ascii="Times New Roman" w:hAnsi="Times New Roman" w:cs="Times New Roman"/>
                <w:iCs/>
                <w:sz w:val="20"/>
                <w:szCs w:val="20"/>
              </w:rPr>
              <w:t>8,00</w:t>
            </w:r>
            <w:r w:rsidR="00CB5981" w:rsidRPr="009E0336">
              <w:rPr>
                <w:rFonts w:ascii="Times New Roman" w:hAnsi="Times New Roman" w:cs="Times New Roman"/>
                <w:iCs/>
                <w:sz w:val="20"/>
                <w:szCs w:val="20"/>
              </w:rPr>
              <w:t xml:space="preserve"> €</w:t>
            </w:r>
            <w:r w:rsidR="00D5057C" w:rsidRPr="009E0336">
              <w:rPr>
                <w:rFonts w:ascii="Times New Roman" w:hAnsi="Times New Roman" w:cs="Times New Roman"/>
                <w:iCs/>
                <w:sz w:val="20"/>
                <w:szCs w:val="20"/>
              </w:rPr>
              <w:t xml:space="preserve"> (</w:t>
            </w:r>
            <w:r w:rsidR="00C97F9A" w:rsidRPr="009E0336">
              <w:rPr>
                <w:rFonts w:ascii="Times New Roman" w:hAnsi="Times New Roman" w:cs="Times New Roman"/>
                <w:iCs/>
                <w:sz w:val="20"/>
                <w:szCs w:val="20"/>
              </w:rPr>
              <w:t>5,3</w:t>
            </w:r>
            <w:r w:rsidR="00D5057C" w:rsidRPr="009E0336">
              <w:rPr>
                <w:rFonts w:ascii="Times New Roman" w:hAnsi="Times New Roman" w:cs="Times New Roman"/>
                <w:iCs/>
                <w:sz w:val="20"/>
                <w:szCs w:val="20"/>
              </w:rPr>
              <w:t xml:space="preserve"> % ukupnog plana</w:t>
            </w:r>
            <w:r w:rsidR="00C97F9A" w:rsidRPr="009E0336">
              <w:rPr>
                <w:rFonts w:ascii="Times New Roman" w:hAnsi="Times New Roman" w:cs="Times New Roman"/>
                <w:iCs/>
                <w:sz w:val="20"/>
                <w:szCs w:val="20"/>
              </w:rPr>
              <w:t>)</w:t>
            </w:r>
            <w:r w:rsidR="00D5057C" w:rsidRPr="009E0336">
              <w:rPr>
                <w:rFonts w:ascii="Times New Roman" w:hAnsi="Times New Roman" w:cs="Times New Roman"/>
                <w:iCs/>
                <w:sz w:val="20"/>
                <w:szCs w:val="20"/>
              </w:rPr>
              <w:t xml:space="preserve"> za financiranje</w:t>
            </w:r>
            <w:r w:rsidR="00C97F9A" w:rsidRPr="009E0336">
              <w:rPr>
                <w:rFonts w:ascii="Times New Roman" w:hAnsi="Times New Roman" w:cs="Times New Roman"/>
                <w:iCs/>
                <w:sz w:val="20"/>
                <w:szCs w:val="20"/>
              </w:rPr>
              <w:t xml:space="preserve"> održavanja objekata, opreme i vozila te nabave auto guma, službene radne odjeće i vozila (</w:t>
            </w:r>
            <w:r w:rsidR="00C97F9A" w:rsidRPr="009E0336">
              <w:rPr>
                <w:rFonts w:ascii="Times New Roman" w:hAnsi="Times New Roman" w:cs="Times New Roman"/>
                <w:sz w:val="20"/>
                <w:szCs w:val="20"/>
              </w:rPr>
              <w:t>nabava auto guma 70.000,00 €, nabava službene radne odjeće 120.000,00 €, izrada i postavljanje nadstrešnica u ispostavama Zavoda 50.000,00 €, redovan servis i održavanje medicinske, komunikacijske, informatičke i druge opreme 120.000,00 €, održavanje voznog parka 600.000,00 € i nabava 6 vozila za hitnu medicinu 782.368,00 € (u 2025.g. planira</w:t>
            </w:r>
            <w:r w:rsidR="00FF50C5" w:rsidRPr="009E0336">
              <w:rPr>
                <w:rFonts w:ascii="Times New Roman" w:hAnsi="Times New Roman" w:cs="Times New Roman"/>
                <w:sz w:val="20"/>
                <w:szCs w:val="20"/>
              </w:rPr>
              <w:t xml:space="preserve"> se </w:t>
            </w:r>
            <w:r w:rsidR="00C97F9A" w:rsidRPr="009E0336">
              <w:rPr>
                <w:rFonts w:ascii="Times New Roman" w:hAnsi="Times New Roman" w:cs="Times New Roman"/>
                <w:sz w:val="20"/>
                <w:szCs w:val="20"/>
              </w:rPr>
              <w:t xml:space="preserve"> nabava </w:t>
            </w:r>
            <w:r w:rsidR="00B83EC8" w:rsidRPr="009E0336">
              <w:rPr>
                <w:rFonts w:ascii="Times New Roman" w:hAnsi="Times New Roman" w:cs="Times New Roman"/>
                <w:sz w:val="20"/>
                <w:szCs w:val="20"/>
              </w:rPr>
              <w:t>9</w:t>
            </w:r>
            <w:r w:rsidR="00C97F9A" w:rsidRPr="009E0336">
              <w:rPr>
                <w:rFonts w:ascii="Times New Roman" w:hAnsi="Times New Roman" w:cs="Times New Roman"/>
                <w:sz w:val="20"/>
                <w:szCs w:val="20"/>
              </w:rPr>
              <w:t xml:space="preserve"> vozila za hitnu medicinu za što je ukupno potrebno 1.</w:t>
            </w:r>
            <w:r w:rsidR="00B83EC8" w:rsidRPr="009E0336">
              <w:rPr>
                <w:rFonts w:ascii="Times New Roman" w:hAnsi="Times New Roman" w:cs="Times New Roman"/>
                <w:sz w:val="20"/>
                <w:szCs w:val="20"/>
              </w:rPr>
              <w:t>207.363,94</w:t>
            </w:r>
            <w:r w:rsidR="00C97F9A" w:rsidRPr="009E0336">
              <w:rPr>
                <w:rFonts w:ascii="Times New Roman" w:hAnsi="Times New Roman" w:cs="Times New Roman"/>
                <w:sz w:val="20"/>
                <w:szCs w:val="20"/>
              </w:rPr>
              <w:t xml:space="preserve"> € od čega će se dio financirati iz decentraliziranih sredstava, a dio iz matičnih sredstava SDŽ)</w:t>
            </w:r>
            <w:r w:rsidRPr="009E0336">
              <w:rPr>
                <w:rFonts w:ascii="Times New Roman" w:hAnsi="Times New Roman" w:cs="Times New Roman"/>
                <w:iCs/>
                <w:sz w:val="20"/>
                <w:szCs w:val="20"/>
              </w:rPr>
              <w:t xml:space="preserve">, </w:t>
            </w:r>
            <w:r w:rsidR="00FF50C5" w:rsidRPr="009E0336">
              <w:rPr>
                <w:rFonts w:ascii="Times New Roman" w:hAnsi="Times New Roman" w:cs="Times New Roman"/>
                <w:iCs/>
                <w:sz w:val="20"/>
                <w:szCs w:val="20"/>
              </w:rPr>
              <w:t xml:space="preserve">od prodaje rashodovanih vozila, otkupa stanova te od refundacija šteta od osiguravajuće kuće </w:t>
            </w:r>
            <w:r w:rsidR="00C97F9A" w:rsidRPr="009E0336">
              <w:rPr>
                <w:rFonts w:ascii="Times New Roman" w:hAnsi="Times New Roman" w:cs="Times New Roman"/>
                <w:iCs/>
                <w:sz w:val="20"/>
                <w:szCs w:val="20"/>
              </w:rPr>
              <w:t>30.636,06</w:t>
            </w:r>
            <w:r w:rsidRPr="009E0336">
              <w:rPr>
                <w:rFonts w:ascii="Times New Roman" w:hAnsi="Times New Roman" w:cs="Times New Roman"/>
                <w:iCs/>
                <w:sz w:val="20"/>
                <w:szCs w:val="20"/>
              </w:rPr>
              <w:t xml:space="preserve"> € (</w:t>
            </w:r>
            <w:r w:rsidR="00C97F9A" w:rsidRPr="009E0336">
              <w:rPr>
                <w:rFonts w:ascii="Times New Roman" w:hAnsi="Times New Roman" w:cs="Times New Roman"/>
                <w:iCs/>
                <w:sz w:val="20"/>
                <w:szCs w:val="20"/>
              </w:rPr>
              <w:t xml:space="preserve">0,1 </w:t>
            </w:r>
            <w:r w:rsidRPr="009E0336">
              <w:rPr>
                <w:rFonts w:ascii="Times New Roman" w:hAnsi="Times New Roman" w:cs="Times New Roman"/>
                <w:iCs/>
                <w:sz w:val="20"/>
                <w:szCs w:val="20"/>
              </w:rPr>
              <w:t>% ukupnog plana).</w:t>
            </w:r>
            <w:r w:rsidR="00DE1003" w:rsidRPr="009E0336">
              <w:rPr>
                <w:rFonts w:ascii="Times New Roman" w:hAnsi="Times New Roman" w:cs="Times New Roman"/>
                <w:iCs/>
                <w:sz w:val="20"/>
                <w:szCs w:val="20"/>
              </w:rPr>
              <w:t xml:space="preserve"> </w:t>
            </w:r>
            <w:r w:rsidR="00091387" w:rsidRPr="009E0336">
              <w:rPr>
                <w:rFonts w:ascii="Times New Roman" w:hAnsi="Times New Roman" w:cs="Times New Roman"/>
                <w:iCs/>
                <w:sz w:val="20"/>
                <w:szCs w:val="20"/>
              </w:rPr>
              <w:t>Rashodi koji će se financirati u ovoj aktivnosti u 202</w:t>
            </w:r>
            <w:r w:rsidR="00C97F9A" w:rsidRPr="009E0336">
              <w:rPr>
                <w:rFonts w:ascii="Times New Roman" w:hAnsi="Times New Roman" w:cs="Times New Roman"/>
                <w:iCs/>
                <w:sz w:val="20"/>
                <w:szCs w:val="20"/>
              </w:rPr>
              <w:t>5</w:t>
            </w:r>
            <w:r w:rsidR="00091387" w:rsidRPr="009E0336">
              <w:rPr>
                <w:rFonts w:ascii="Times New Roman" w:hAnsi="Times New Roman" w:cs="Times New Roman"/>
                <w:iCs/>
                <w:sz w:val="20"/>
                <w:szCs w:val="20"/>
              </w:rPr>
              <w:t xml:space="preserve">.g. su: materijalni rashodi u iznosu od  </w:t>
            </w:r>
            <w:r w:rsidR="00C97F9A" w:rsidRPr="009E0336">
              <w:rPr>
                <w:rFonts w:ascii="Times New Roman" w:hAnsi="Times New Roman" w:cs="Times New Roman"/>
                <w:iCs/>
                <w:sz w:val="20"/>
                <w:szCs w:val="20"/>
              </w:rPr>
              <w:t>980.0</w:t>
            </w:r>
            <w:r w:rsidR="00845C4C" w:rsidRPr="009E0336">
              <w:rPr>
                <w:rFonts w:ascii="Times New Roman" w:hAnsi="Times New Roman" w:cs="Times New Roman"/>
                <w:iCs/>
                <w:sz w:val="20"/>
                <w:szCs w:val="20"/>
              </w:rPr>
              <w:t>00,00</w:t>
            </w:r>
            <w:r w:rsidR="00091387" w:rsidRPr="009E0336">
              <w:rPr>
                <w:rFonts w:ascii="Times New Roman" w:hAnsi="Times New Roman" w:cs="Times New Roman"/>
                <w:iCs/>
                <w:sz w:val="20"/>
                <w:szCs w:val="20"/>
              </w:rPr>
              <w:t xml:space="preserve"> € (</w:t>
            </w:r>
            <w:r w:rsidR="00C97F9A" w:rsidRPr="009E0336">
              <w:rPr>
                <w:rFonts w:ascii="Times New Roman" w:hAnsi="Times New Roman" w:cs="Times New Roman"/>
                <w:iCs/>
                <w:sz w:val="20"/>
                <w:szCs w:val="20"/>
              </w:rPr>
              <w:t>3</w:t>
            </w:r>
            <w:r w:rsidR="00091387" w:rsidRPr="009E0336">
              <w:rPr>
                <w:rFonts w:ascii="Times New Roman" w:hAnsi="Times New Roman" w:cs="Times New Roman"/>
                <w:iCs/>
                <w:sz w:val="20"/>
                <w:szCs w:val="20"/>
              </w:rPr>
              <w:t xml:space="preserve"> % ukupnog plana)</w:t>
            </w:r>
            <w:r w:rsidR="00D5057C" w:rsidRPr="009E0336">
              <w:rPr>
                <w:rFonts w:ascii="Times New Roman" w:eastAsia="Times New Roman" w:hAnsi="Times New Roman" w:cs="Times New Roman"/>
                <w:bCs/>
                <w:kern w:val="0"/>
                <w:sz w:val="20"/>
                <w:szCs w:val="20"/>
                <w:lang w:eastAsia="ar-SA"/>
              </w:rPr>
              <w:t>,</w:t>
            </w:r>
            <w:r w:rsidR="00091387" w:rsidRPr="009E0336">
              <w:rPr>
                <w:rFonts w:ascii="Times New Roman" w:hAnsi="Times New Roman" w:cs="Times New Roman"/>
                <w:iCs/>
                <w:sz w:val="20"/>
                <w:szCs w:val="20"/>
              </w:rPr>
              <w:t xml:space="preserve"> zatim rashodi za nabavu </w:t>
            </w:r>
            <w:proofErr w:type="spellStart"/>
            <w:r w:rsidR="00091387" w:rsidRPr="009E0336">
              <w:rPr>
                <w:rFonts w:ascii="Times New Roman" w:hAnsi="Times New Roman" w:cs="Times New Roman"/>
                <w:iCs/>
                <w:sz w:val="20"/>
                <w:szCs w:val="20"/>
              </w:rPr>
              <w:t>neproizvedene</w:t>
            </w:r>
            <w:proofErr w:type="spellEnd"/>
            <w:r w:rsidR="00091387" w:rsidRPr="009E0336">
              <w:rPr>
                <w:rFonts w:ascii="Times New Roman" w:hAnsi="Times New Roman" w:cs="Times New Roman"/>
                <w:iCs/>
                <w:sz w:val="20"/>
                <w:szCs w:val="20"/>
              </w:rPr>
              <w:t xml:space="preserve"> dugotrajne imovine u iznosu od </w:t>
            </w:r>
            <w:r w:rsidR="00C97F9A" w:rsidRPr="009E0336">
              <w:rPr>
                <w:rFonts w:ascii="Times New Roman" w:hAnsi="Times New Roman" w:cs="Times New Roman"/>
                <w:iCs/>
                <w:sz w:val="20"/>
                <w:szCs w:val="20"/>
              </w:rPr>
              <w:t>253</w:t>
            </w:r>
            <w:r w:rsidR="00845C4C" w:rsidRPr="009E0336">
              <w:rPr>
                <w:rFonts w:ascii="Times New Roman" w:hAnsi="Times New Roman" w:cs="Times New Roman"/>
                <w:iCs/>
                <w:sz w:val="20"/>
                <w:szCs w:val="20"/>
              </w:rPr>
              <w:t>.000,00</w:t>
            </w:r>
            <w:r w:rsidR="00091387" w:rsidRPr="009E0336">
              <w:rPr>
                <w:rFonts w:ascii="Times New Roman" w:hAnsi="Times New Roman" w:cs="Times New Roman"/>
                <w:iCs/>
                <w:sz w:val="20"/>
                <w:szCs w:val="20"/>
              </w:rPr>
              <w:t xml:space="preserve"> </w:t>
            </w:r>
            <w:r w:rsidR="00091387" w:rsidRPr="009E0336">
              <w:rPr>
                <w:rFonts w:ascii="Times New Roman" w:eastAsia="Times New Roman" w:hAnsi="Times New Roman" w:cs="Times New Roman"/>
                <w:bCs/>
                <w:kern w:val="0"/>
                <w:sz w:val="20"/>
                <w:szCs w:val="20"/>
                <w:lang w:eastAsia="ar-SA"/>
              </w:rPr>
              <w:t>€ (</w:t>
            </w:r>
            <w:r w:rsidR="00AB2826" w:rsidRPr="009E0336">
              <w:rPr>
                <w:rFonts w:ascii="Times New Roman" w:eastAsia="Times New Roman" w:hAnsi="Times New Roman" w:cs="Times New Roman"/>
                <w:bCs/>
                <w:kern w:val="0"/>
                <w:sz w:val="20"/>
                <w:szCs w:val="20"/>
                <w:lang w:eastAsia="ar-SA"/>
              </w:rPr>
              <w:t>0,</w:t>
            </w:r>
            <w:r w:rsidR="00C97F9A" w:rsidRPr="009E0336">
              <w:rPr>
                <w:rFonts w:ascii="Times New Roman" w:eastAsia="Times New Roman" w:hAnsi="Times New Roman" w:cs="Times New Roman"/>
                <w:bCs/>
                <w:kern w:val="0"/>
                <w:sz w:val="20"/>
                <w:szCs w:val="20"/>
                <w:lang w:eastAsia="ar-SA"/>
              </w:rPr>
              <w:t>8</w:t>
            </w:r>
            <w:r w:rsidR="00091387" w:rsidRPr="009E0336">
              <w:rPr>
                <w:rFonts w:ascii="Times New Roman" w:eastAsia="Times New Roman" w:hAnsi="Times New Roman" w:cs="Times New Roman"/>
                <w:bCs/>
                <w:kern w:val="0"/>
                <w:sz w:val="20"/>
                <w:szCs w:val="20"/>
                <w:lang w:eastAsia="ar-SA"/>
              </w:rPr>
              <w:t xml:space="preserve"> % ukupnog plana)</w:t>
            </w:r>
            <w:r w:rsidR="007E28A5" w:rsidRPr="009E0336">
              <w:rPr>
                <w:rFonts w:ascii="Times New Roman" w:eastAsia="Times New Roman" w:hAnsi="Times New Roman" w:cs="Times New Roman"/>
                <w:bCs/>
                <w:kern w:val="0"/>
                <w:sz w:val="20"/>
                <w:szCs w:val="20"/>
                <w:lang w:eastAsia="ar-SA"/>
              </w:rPr>
              <w:t>,</w:t>
            </w:r>
            <w:r w:rsidR="00091387" w:rsidRPr="009E0336">
              <w:rPr>
                <w:rFonts w:ascii="Times New Roman" w:eastAsia="Times New Roman" w:hAnsi="Times New Roman" w:cs="Times New Roman"/>
                <w:bCs/>
                <w:kern w:val="0"/>
                <w:sz w:val="20"/>
                <w:szCs w:val="20"/>
                <w:lang w:eastAsia="ar-SA"/>
              </w:rPr>
              <w:t xml:space="preserve"> te rashodi za nabavu proizvedene dugotrajne imovine u iznosu od </w:t>
            </w:r>
            <w:r w:rsidR="00C97F9A" w:rsidRPr="009E0336">
              <w:rPr>
                <w:rFonts w:ascii="Times New Roman" w:eastAsia="Times New Roman" w:hAnsi="Times New Roman" w:cs="Times New Roman"/>
                <w:bCs/>
                <w:kern w:val="0"/>
                <w:sz w:val="20"/>
                <w:szCs w:val="20"/>
                <w:lang w:eastAsia="ar-SA"/>
              </w:rPr>
              <w:t>1.908.000,00</w:t>
            </w:r>
            <w:r w:rsidR="00091387" w:rsidRPr="009E0336">
              <w:rPr>
                <w:rFonts w:ascii="Times New Roman" w:eastAsia="Times New Roman" w:hAnsi="Times New Roman" w:cs="Times New Roman"/>
                <w:bCs/>
                <w:kern w:val="0"/>
                <w:sz w:val="20"/>
                <w:szCs w:val="20"/>
                <w:lang w:eastAsia="ar-SA"/>
              </w:rPr>
              <w:t xml:space="preserve"> € (</w:t>
            </w:r>
            <w:r w:rsidR="00C97F9A" w:rsidRPr="009E0336">
              <w:rPr>
                <w:rFonts w:ascii="Times New Roman" w:eastAsia="Times New Roman" w:hAnsi="Times New Roman" w:cs="Times New Roman"/>
                <w:bCs/>
                <w:kern w:val="0"/>
                <w:sz w:val="20"/>
                <w:szCs w:val="20"/>
                <w:lang w:eastAsia="ar-SA"/>
              </w:rPr>
              <w:t>5,8</w:t>
            </w:r>
            <w:r w:rsidR="00091387" w:rsidRPr="009E0336">
              <w:rPr>
                <w:rFonts w:ascii="Times New Roman" w:eastAsia="Times New Roman" w:hAnsi="Times New Roman" w:cs="Times New Roman"/>
                <w:bCs/>
                <w:kern w:val="0"/>
                <w:sz w:val="20"/>
                <w:szCs w:val="20"/>
                <w:lang w:eastAsia="ar-SA"/>
              </w:rPr>
              <w:t xml:space="preserve"> % ukupnog plana)</w:t>
            </w:r>
            <w:r w:rsidR="00C97F9A" w:rsidRPr="009E0336">
              <w:rPr>
                <w:rFonts w:ascii="Times New Roman" w:eastAsia="Times New Roman" w:hAnsi="Times New Roman" w:cs="Times New Roman"/>
                <w:bCs/>
                <w:kern w:val="0"/>
                <w:sz w:val="20"/>
                <w:szCs w:val="20"/>
                <w:lang w:eastAsia="ar-SA"/>
              </w:rPr>
              <w:t>.</w:t>
            </w:r>
          </w:p>
          <w:p w14:paraId="5A7FE84F" w14:textId="64C81018" w:rsidR="00FA6BF1" w:rsidRPr="009E0336" w:rsidRDefault="00091387" w:rsidP="00C97F9A">
            <w:pPr>
              <w:jc w:val="both"/>
              <w:rPr>
                <w:rFonts w:ascii="Times New Roman" w:eastAsia="Times New Roman" w:hAnsi="Times New Roman" w:cs="Times New Roman"/>
                <w:bCs/>
                <w:kern w:val="0"/>
                <w:sz w:val="20"/>
                <w:szCs w:val="20"/>
                <w:lang w:eastAsia="ar-SA"/>
              </w:rPr>
            </w:pPr>
            <w:r w:rsidRPr="009E0336">
              <w:rPr>
                <w:rFonts w:ascii="Times New Roman" w:eastAsia="Times New Roman" w:hAnsi="Times New Roman" w:cs="Times New Roman"/>
                <w:bCs/>
                <w:kern w:val="0"/>
                <w:sz w:val="20"/>
                <w:szCs w:val="20"/>
                <w:lang w:eastAsia="ar-SA"/>
              </w:rPr>
              <w:t>Planirana sredstva u 202</w:t>
            </w:r>
            <w:r w:rsidR="00C97F9A" w:rsidRPr="009E0336">
              <w:rPr>
                <w:rFonts w:ascii="Times New Roman" w:eastAsia="Times New Roman" w:hAnsi="Times New Roman" w:cs="Times New Roman"/>
                <w:bCs/>
                <w:kern w:val="0"/>
                <w:sz w:val="20"/>
                <w:szCs w:val="20"/>
                <w:lang w:eastAsia="ar-SA"/>
              </w:rPr>
              <w:t>6</w:t>
            </w:r>
            <w:r w:rsidRPr="009E0336">
              <w:rPr>
                <w:rFonts w:ascii="Times New Roman" w:eastAsia="Times New Roman" w:hAnsi="Times New Roman" w:cs="Times New Roman"/>
                <w:bCs/>
                <w:kern w:val="0"/>
                <w:sz w:val="20"/>
                <w:szCs w:val="20"/>
                <w:lang w:eastAsia="ar-SA"/>
              </w:rPr>
              <w:t xml:space="preserve">.g. ukupno su </w:t>
            </w:r>
            <w:r w:rsidR="00C97F9A" w:rsidRPr="009E0336">
              <w:rPr>
                <w:rFonts w:ascii="Times New Roman" w:eastAsia="Times New Roman" w:hAnsi="Times New Roman" w:cs="Times New Roman"/>
                <w:bCs/>
                <w:kern w:val="0"/>
                <w:sz w:val="20"/>
                <w:szCs w:val="20"/>
                <w:lang w:eastAsia="ar-SA"/>
              </w:rPr>
              <w:t>veća</w:t>
            </w:r>
            <w:r w:rsidRPr="009E0336">
              <w:rPr>
                <w:rFonts w:ascii="Times New Roman" w:eastAsia="Times New Roman" w:hAnsi="Times New Roman" w:cs="Times New Roman"/>
                <w:bCs/>
                <w:kern w:val="0"/>
                <w:sz w:val="20"/>
                <w:szCs w:val="20"/>
                <w:lang w:eastAsia="ar-SA"/>
              </w:rPr>
              <w:t xml:space="preserve"> za </w:t>
            </w:r>
            <w:r w:rsidR="00C97F9A" w:rsidRPr="009E0336">
              <w:rPr>
                <w:rFonts w:ascii="Times New Roman" w:eastAsia="Times New Roman" w:hAnsi="Times New Roman" w:cs="Times New Roman"/>
                <w:bCs/>
                <w:kern w:val="0"/>
                <w:sz w:val="20"/>
                <w:szCs w:val="20"/>
                <w:lang w:eastAsia="ar-SA"/>
              </w:rPr>
              <w:t>11,4</w:t>
            </w:r>
            <w:r w:rsidRPr="009E0336">
              <w:rPr>
                <w:rFonts w:ascii="Times New Roman" w:eastAsia="Times New Roman" w:hAnsi="Times New Roman" w:cs="Times New Roman"/>
                <w:bCs/>
                <w:kern w:val="0"/>
                <w:sz w:val="20"/>
                <w:szCs w:val="20"/>
                <w:lang w:eastAsia="ar-SA"/>
              </w:rPr>
              <w:t xml:space="preserve"> % u odnosu na 202</w:t>
            </w:r>
            <w:r w:rsidR="00C97F9A" w:rsidRPr="009E0336">
              <w:rPr>
                <w:rFonts w:ascii="Times New Roman" w:eastAsia="Times New Roman" w:hAnsi="Times New Roman" w:cs="Times New Roman"/>
                <w:bCs/>
                <w:kern w:val="0"/>
                <w:sz w:val="20"/>
                <w:szCs w:val="20"/>
                <w:lang w:eastAsia="ar-SA"/>
              </w:rPr>
              <w:t>5</w:t>
            </w:r>
            <w:r w:rsidRPr="009E0336">
              <w:rPr>
                <w:rFonts w:ascii="Times New Roman" w:eastAsia="Times New Roman" w:hAnsi="Times New Roman" w:cs="Times New Roman"/>
                <w:bCs/>
                <w:kern w:val="0"/>
                <w:sz w:val="20"/>
                <w:szCs w:val="20"/>
                <w:lang w:eastAsia="ar-SA"/>
              </w:rPr>
              <w:t xml:space="preserve">.g. </w:t>
            </w:r>
            <w:r w:rsidR="00677D04" w:rsidRPr="009E0336">
              <w:rPr>
                <w:rFonts w:ascii="Times New Roman" w:eastAsia="Times New Roman" w:hAnsi="Times New Roman" w:cs="Times New Roman"/>
                <w:bCs/>
                <w:kern w:val="0"/>
                <w:sz w:val="20"/>
                <w:szCs w:val="20"/>
                <w:lang w:eastAsia="ar-SA"/>
              </w:rPr>
              <w:t xml:space="preserve">što je posljedica </w:t>
            </w:r>
            <w:r w:rsidR="00C97F9A" w:rsidRPr="009E0336">
              <w:rPr>
                <w:rFonts w:ascii="Times New Roman" w:eastAsia="Times New Roman" w:hAnsi="Times New Roman" w:cs="Times New Roman"/>
                <w:bCs/>
                <w:kern w:val="0"/>
                <w:sz w:val="20"/>
                <w:szCs w:val="20"/>
                <w:lang w:eastAsia="ar-SA"/>
              </w:rPr>
              <w:t xml:space="preserve">više </w:t>
            </w:r>
            <w:r w:rsidR="00677D04" w:rsidRPr="009E0336">
              <w:rPr>
                <w:rFonts w:ascii="Times New Roman" w:eastAsia="Times New Roman" w:hAnsi="Times New Roman" w:cs="Times New Roman"/>
                <w:bCs/>
                <w:kern w:val="0"/>
                <w:sz w:val="20"/>
                <w:szCs w:val="20"/>
                <w:lang w:eastAsia="ar-SA"/>
              </w:rPr>
              <w:t>odobrenih sredstava iz matičnog proračuna SDŽ (</w:t>
            </w:r>
            <w:r w:rsidR="00C97F9A" w:rsidRPr="009E0336">
              <w:rPr>
                <w:rFonts w:ascii="Times New Roman" w:eastAsia="Times New Roman" w:hAnsi="Times New Roman" w:cs="Times New Roman"/>
                <w:bCs/>
                <w:kern w:val="0"/>
                <w:sz w:val="20"/>
                <w:szCs w:val="20"/>
                <w:lang w:eastAsia="ar-SA"/>
              </w:rPr>
              <w:t>veća su z</w:t>
            </w:r>
            <w:r w:rsidR="00677D04" w:rsidRPr="009E0336">
              <w:rPr>
                <w:rFonts w:ascii="Times New Roman" w:eastAsia="Times New Roman" w:hAnsi="Times New Roman" w:cs="Times New Roman"/>
                <w:bCs/>
                <w:kern w:val="0"/>
                <w:sz w:val="20"/>
                <w:szCs w:val="20"/>
                <w:lang w:eastAsia="ar-SA"/>
              </w:rPr>
              <w:t xml:space="preserve">a </w:t>
            </w:r>
            <w:r w:rsidR="00C97F9A" w:rsidRPr="009E0336">
              <w:rPr>
                <w:rFonts w:ascii="Times New Roman" w:eastAsia="Times New Roman" w:hAnsi="Times New Roman" w:cs="Times New Roman"/>
                <w:bCs/>
                <w:kern w:val="0"/>
                <w:sz w:val="20"/>
                <w:szCs w:val="20"/>
                <w:lang w:eastAsia="ar-SA"/>
              </w:rPr>
              <w:t>29</w:t>
            </w:r>
            <w:r w:rsidR="00677D04" w:rsidRPr="009E0336">
              <w:rPr>
                <w:rFonts w:ascii="Times New Roman" w:eastAsia="Times New Roman" w:hAnsi="Times New Roman" w:cs="Times New Roman"/>
                <w:bCs/>
                <w:kern w:val="0"/>
                <w:sz w:val="20"/>
                <w:szCs w:val="20"/>
                <w:lang w:eastAsia="ar-SA"/>
              </w:rPr>
              <w:t>% u odnosu na prethodnu godinu</w:t>
            </w:r>
            <w:r w:rsidR="00C97F9A" w:rsidRPr="009E0336">
              <w:rPr>
                <w:rFonts w:ascii="Times New Roman" w:eastAsia="Times New Roman" w:hAnsi="Times New Roman" w:cs="Times New Roman"/>
                <w:bCs/>
                <w:kern w:val="0"/>
                <w:sz w:val="20"/>
                <w:szCs w:val="20"/>
                <w:lang w:eastAsia="ar-SA"/>
              </w:rPr>
              <w:t>) kako bi se nastavio proces usklađenja sa novim pravilnikom (</w:t>
            </w:r>
            <w:r w:rsidR="00C97F9A" w:rsidRPr="009E0336">
              <w:rPr>
                <w:rFonts w:ascii="Times New Roman" w:hAnsi="Times New Roman" w:cs="Times New Roman"/>
                <w:sz w:val="20"/>
                <w:szCs w:val="20"/>
              </w:rPr>
              <w:t xml:space="preserve">adaptacija ispostave Omiš 250.000,00 €, nabava trajnih licenci 4.000,00 €, nabava računalne opreme 30.000,00 €, nabava namještaja i opreme 60.000,00 €, nabava </w:t>
            </w:r>
            <w:proofErr w:type="spellStart"/>
            <w:r w:rsidR="00C97F9A" w:rsidRPr="009E0336">
              <w:rPr>
                <w:rFonts w:ascii="Times New Roman" w:hAnsi="Times New Roman" w:cs="Times New Roman"/>
                <w:sz w:val="20"/>
                <w:szCs w:val="20"/>
              </w:rPr>
              <w:t>tetra</w:t>
            </w:r>
            <w:proofErr w:type="spellEnd"/>
            <w:r w:rsidR="00C97F9A" w:rsidRPr="009E0336">
              <w:rPr>
                <w:rFonts w:ascii="Times New Roman" w:hAnsi="Times New Roman" w:cs="Times New Roman"/>
                <w:sz w:val="20"/>
                <w:szCs w:val="20"/>
              </w:rPr>
              <w:t xml:space="preserve"> radio komunikacijskih uređaja 30.000,00 €, nabava medicinske opreme i uređaja (defibrilator, aspirator, respirator i FAST prijenosni ultrazvučni uređaji) 390.000,00 € te nabava vozila 801.632,00 €)</w:t>
            </w:r>
            <w:r w:rsidR="00C97F9A" w:rsidRPr="009E0336">
              <w:rPr>
                <w:rFonts w:ascii="Times New Roman" w:eastAsia="Times New Roman" w:hAnsi="Times New Roman" w:cs="Times New Roman"/>
                <w:bCs/>
                <w:kern w:val="0"/>
                <w:sz w:val="20"/>
                <w:szCs w:val="20"/>
                <w:lang w:eastAsia="ar-SA"/>
              </w:rPr>
              <w:t>. Zatim većih vlastitih prihoda (već</w:t>
            </w:r>
            <w:r w:rsidR="00060E73" w:rsidRPr="009E0336">
              <w:rPr>
                <w:rFonts w:ascii="Times New Roman" w:eastAsia="Times New Roman" w:hAnsi="Times New Roman" w:cs="Times New Roman"/>
                <w:bCs/>
                <w:kern w:val="0"/>
                <w:sz w:val="20"/>
                <w:szCs w:val="20"/>
                <w:lang w:eastAsia="ar-SA"/>
              </w:rPr>
              <w:t>i</w:t>
            </w:r>
            <w:r w:rsidR="00C97F9A" w:rsidRPr="009E0336">
              <w:rPr>
                <w:rFonts w:ascii="Times New Roman" w:eastAsia="Times New Roman" w:hAnsi="Times New Roman" w:cs="Times New Roman"/>
                <w:bCs/>
                <w:kern w:val="0"/>
                <w:sz w:val="20"/>
                <w:szCs w:val="20"/>
                <w:lang w:eastAsia="ar-SA"/>
              </w:rPr>
              <w:t xml:space="preserve"> su za 3,2%) i prihoda od prodaje dugotrajne imovine i refundacije šteta od osiguravajuće kuće (već</w:t>
            </w:r>
            <w:r w:rsidR="00060E73" w:rsidRPr="009E0336">
              <w:rPr>
                <w:rFonts w:ascii="Times New Roman" w:eastAsia="Times New Roman" w:hAnsi="Times New Roman" w:cs="Times New Roman"/>
                <w:bCs/>
                <w:kern w:val="0"/>
                <w:sz w:val="20"/>
                <w:szCs w:val="20"/>
                <w:lang w:eastAsia="ar-SA"/>
              </w:rPr>
              <w:t>i</w:t>
            </w:r>
            <w:r w:rsidR="00C97F9A" w:rsidRPr="009E0336">
              <w:rPr>
                <w:rFonts w:ascii="Times New Roman" w:eastAsia="Times New Roman" w:hAnsi="Times New Roman" w:cs="Times New Roman"/>
                <w:bCs/>
                <w:kern w:val="0"/>
                <w:sz w:val="20"/>
                <w:szCs w:val="20"/>
                <w:lang w:eastAsia="ar-SA"/>
              </w:rPr>
              <w:t xml:space="preserve"> su za 4,5%) dok su </w:t>
            </w:r>
            <w:r w:rsidR="00677D04" w:rsidRPr="009E0336">
              <w:rPr>
                <w:rFonts w:ascii="Times New Roman" w:eastAsia="Times New Roman" w:hAnsi="Times New Roman" w:cs="Times New Roman"/>
                <w:bCs/>
                <w:kern w:val="0"/>
                <w:sz w:val="20"/>
                <w:szCs w:val="20"/>
                <w:lang w:eastAsia="ar-SA"/>
              </w:rPr>
              <w:t xml:space="preserve"> decentraliziran</w:t>
            </w:r>
            <w:r w:rsidR="00C97F9A" w:rsidRPr="009E0336">
              <w:rPr>
                <w:rFonts w:ascii="Times New Roman" w:eastAsia="Times New Roman" w:hAnsi="Times New Roman" w:cs="Times New Roman"/>
                <w:bCs/>
                <w:kern w:val="0"/>
                <w:sz w:val="20"/>
                <w:szCs w:val="20"/>
                <w:lang w:eastAsia="ar-SA"/>
              </w:rPr>
              <w:t>a</w:t>
            </w:r>
            <w:r w:rsidR="00677D04" w:rsidRPr="009E0336">
              <w:rPr>
                <w:rFonts w:ascii="Times New Roman" w:eastAsia="Times New Roman" w:hAnsi="Times New Roman" w:cs="Times New Roman"/>
                <w:bCs/>
                <w:kern w:val="0"/>
                <w:sz w:val="20"/>
                <w:szCs w:val="20"/>
                <w:lang w:eastAsia="ar-SA"/>
              </w:rPr>
              <w:t xml:space="preserve"> sredstva </w:t>
            </w:r>
            <w:r w:rsidR="00C97F9A" w:rsidRPr="009E0336">
              <w:rPr>
                <w:rFonts w:ascii="Times New Roman" w:eastAsia="Times New Roman" w:hAnsi="Times New Roman" w:cs="Times New Roman"/>
                <w:bCs/>
                <w:kern w:val="0"/>
                <w:sz w:val="20"/>
                <w:szCs w:val="20"/>
                <w:lang w:eastAsia="ar-SA"/>
              </w:rPr>
              <w:t xml:space="preserve">ostala na istoj razini kao i u 2025.g. </w:t>
            </w:r>
            <w:r w:rsidR="00FF50C5" w:rsidRPr="009E0336">
              <w:rPr>
                <w:rFonts w:ascii="Times New Roman" w:eastAsia="Times New Roman" w:hAnsi="Times New Roman" w:cs="Times New Roman"/>
                <w:bCs/>
                <w:kern w:val="0"/>
                <w:sz w:val="20"/>
                <w:szCs w:val="20"/>
                <w:lang w:eastAsia="ar-SA"/>
              </w:rPr>
              <w:t xml:space="preserve">Iz decentraliziranih sredstava </w:t>
            </w:r>
            <w:r w:rsidR="00C97F9A" w:rsidRPr="009E0336">
              <w:rPr>
                <w:rFonts w:ascii="Times New Roman" w:eastAsia="Times New Roman" w:hAnsi="Times New Roman" w:cs="Times New Roman"/>
                <w:bCs/>
                <w:kern w:val="0"/>
                <w:sz w:val="20"/>
                <w:szCs w:val="20"/>
                <w:lang w:eastAsia="ar-SA"/>
              </w:rPr>
              <w:t xml:space="preserve">planira se </w:t>
            </w:r>
            <w:r w:rsidR="00C97F9A" w:rsidRPr="009E0336">
              <w:rPr>
                <w:rFonts w:ascii="Times New Roman" w:hAnsi="Times New Roman" w:cs="Times New Roman"/>
                <w:sz w:val="20"/>
                <w:szCs w:val="20"/>
              </w:rPr>
              <w:t xml:space="preserve">nabava auto guma 77.000,00 €, službene radne odjeće 120.000,00 €, tekuće i investicijsko održavanje objekata 55.000,00 €, redovan servis i održavanje medicinske, komunikacijske, informatičke i druge opreme 132.000,00 €, održavanje voznog parka 660.000,00 € i nabava vozila 698.368,00 €. </w:t>
            </w:r>
            <w:r w:rsidRPr="009E0336">
              <w:rPr>
                <w:rFonts w:ascii="Times New Roman" w:hAnsi="Times New Roman" w:cs="Times New Roman"/>
                <w:iCs/>
                <w:sz w:val="20"/>
                <w:szCs w:val="20"/>
              </w:rPr>
              <w:t>U 202</w:t>
            </w:r>
            <w:r w:rsidR="00C97F9A" w:rsidRPr="009E0336">
              <w:rPr>
                <w:rFonts w:ascii="Times New Roman" w:hAnsi="Times New Roman" w:cs="Times New Roman"/>
                <w:iCs/>
                <w:sz w:val="20"/>
                <w:szCs w:val="20"/>
              </w:rPr>
              <w:t>6</w:t>
            </w:r>
            <w:r w:rsidRPr="009E0336">
              <w:rPr>
                <w:rFonts w:ascii="Times New Roman" w:hAnsi="Times New Roman" w:cs="Times New Roman"/>
                <w:iCs/>
                <w:sz w:val="20"/>
                <w:szCs w:val="20"/>
              </w:rPr>
              <w:t xml:space="preserve">. godini materijalni rashodi planirani su u iznosu od </w:t>
            </w:r>
            <w:r w:rsidR="00801305" w:rsidRPr="009E0336">
              <w:rPr>
                <w:rFonts w:ascii="Times New Roman" w:hAnsi="Times New Roman" w:cs="Times New Roman"/>
                <w:iCs/>
                <w:sz w:val="20"/>
                <w:szCs w:val="20"/>
              </w:rPr>
              <w:t>1.0</w:t>
            </w:r>
            <w:r w:rsidR="00C97F9A" w:rsidRPr="009E0336">
              <w:rPr>
                <w:rFonts w:ascii="Times New Roman" w:hAnsi="Times New Roman" w:cs="Times New Roman"/>
                <w:iCs/>
                <w:sz w:val="20"/>
                <w:szCs w:val="20"/>
              </w:rPr>
              <w:t>65</w:t>
            </w:r>
            <w:r w:rsidR="00801305" w:rsidRPr="009E0336">
              <w:rPr>
                <w:rFonts w:ascii="Times New Roman" w:hAnsi="Times New Roman" w:cs="Times New Roman"/>
                <w:iCs/>
                <w:sz w:val="20"/>
                <w:szCs w:val="20"/>
              </w:rPr>
              <w:t>.</w:t>
            </w:r>
            <w:r w:rsidR="00C97F9A" w:rsidRPr="009E0336">
              <w:rPr>
                <w:rFonts w:ascii="Times New Roman" w:hAnsi="Times New Roman" w:cs="Times New Roman"/>
                <w:iCs/>
                <w:sz w:val="20"/>
                <w:szCs w:val="20"/>
              </w:rPr>
              <w:t>0</w:t>
            </w:r>
            <w:r w:rsidR="00801305" w:rsidRPr="009E0336">
              <w:rPr>
                <w:rFonts w:ascii="Times New Roman" w:hAnsi="Times New Roman" w:cs="Times New Roman"/>
                <w:iCs/>
                <w:sz w:val="20"/>
                <w:szCs w:val="20"/>
              </w:rPr>
              <w:t>00,00</w:t>
            </w:r>
            <w:r w:rsidRPr="009E0336">
              <w:rPr>
                <w:rFonts w:ascii="Times New Roman" w:hAnsi="Times New Roman" w:cs="Times New Roman"/>
                <w:iCs/>
                <w:sz w:val="20"/>
                <w:szCs w:val="20"/>
              </w:rPr>
              <w:t xml:space="preserve"> </w:t>
            </w:r>
            <w:r w:rsidRPr="009E0336">
              <w:rPr>
                <w:rFonts w:ascii="Times New Roman" w:eastAsia="Times New Roman" w:hAnsi="Times New Roman" w:cs="Times New Roman"/>
                <w:bCs/>
                <w:kern w:val="0"/>
                <w:sz w:val="20"/>
                <w:szCs w:val="20"/>
                <w:lang w:eastAsia="ar-SA"/>
              </w:rPr>
              <w:t>€ (</w:t>
            </w:r>
            <w:r w:rsidR="00801305" w:rsidRPr="009E0336">
              <w:rPr>
                <w:rFonts w:ascii="Times New Roman" w:eastAsia="Times New Roman" w:hAnsi="Times New Roman" w:cs="Times New Roman"/>
                <w:bCs/>
                <w:kern w:val="0"/>
                <w:sz w:val="20"/>
                <w:szCs w:val="20"/>
                <w:lang w:eastAsia="ar-SA"/>
              </w:rPr>
              <w:t xml:space="preserve">veći su </w:t>
            </w:r>
            <w:r w:rsidRPr="009E0336">
              <w:rPr>
                <w:rFonts w:ascii="Times New Roman" w:eastAsia="Times New Roman" w:hAnsi="Times New Roman" w:cs="Times New Roman"/>
                <w:bCs/>
                <w:kern w:val="0"/>
                <w:sz w:val="20"/>
                <w:szCs w:val="20"/>
                <w:lang w:eastAsia="ar-SA"/>
              </w:rPr>
              <w:t>za</w:t>
            </w:r>
            <w:r w:rsidRPr="009E0336">
              <w:rPr>
                <w:rFonts w:ascii="Times New Roman" w:hAnsi="Times New Roman" w:cs="Times New Roman"/>
                <w:iCs/>
                <w:sz w:val="20"/>
                <w:szCs w:val="20"/>
              </w:rPr>
              <w:t xml:space="preserve"> </w:t>
            </w:r>
            <w:r w:rsidR="00C97F9A" w:rsidRPr="009E0336">
              <w:rPr>
                <w:rFonts w:ascii="Times New Roman" w:hAnsi="Times New Roman" w:cs="Times New Roman"/>
                <w:iCs/>
                <w:sz w:val="20"/>
                <w:szCs w:val="20"/>
              </w:rPr>
              <w:t>8,7</w:t>
            </w:r>
            <w:r w:rsidRPr="009E0336">
              <w:rPr>
                <w:rFonts w:ascii="Times New Roman" w:hAnsi="Times New Roman" w:cs="Times New Roman"/>
                <w:iCs/>
                <w:sz w:val="20"/>
                <w:szCs w:val="20"/>
              </w:rPr>
              <w:t xml:space="preserve"> % u odnosu na 202</w:t>
            </w:r>
            <w:r w:rsidR="00C97F9A" w:rsidRPr="009E0336">
              <w:rPr>
                <w:rFonts w:ascii="Times New Roman" w:hAnsi="Times New Roman" w:cs="Times New Roman"/>
                <w:iCs/>
                <w:sz w:val="20"/>
                <w:szCs w:val="20"/>
              </w:rPr>
              <w:t>5</w:t>
            </w:r>
            <w:r w:rsidRPr="009E0336">
              <w:rPr>
                <w:rFonts w:ascii="Times New Roman" w:hAnsi="Times New Roman" w:cs="Times New Roman"/>
                <w:iCs/>
                <w:sz w:val="20"/>
                <w:szCs w:val="20"/>
              </w:rPr>
              <w:t xml:space="preserve">.g.), rashodi za nabavu </w:t>
            </w:r>
            <w:proofErr w:type="spellStart"/>
            <w:r w:rsidRPr="009E0336">
              <w:rPr>
                <w:rFonts w:ascii="Times New Roman" w:hAnsi="Times New Roman" w:cs="Times New Roman"/>
                <w:iCs/>
                <w:sz w:val="20"/>
                <w:szCs w:val="20"/>
              </w:rPr>
              <w:t>neproizvedene</w:t>
            </w:r>
            <w:proofErr w:type="spellEnd"/>
            <w:r w:rsidRPr="009E0336">
              <w:rPr>
                <w:rFonts w:ascii="Times New Roman" w:hAnsi="Times New Roman" w:cs="Times New Roman"/>
                <w:iCs/>
                <w:sz w:val="20"/>
                <w:szCs w:val="20"/>
              </w:rPr>
              <w:t xml:space="preserve"> dugotrajne imovine u iznosu od </w:t>
            </w:r>
            <w:r w:rsidR="00C97F9A" w:rsidRPr="009E0336">
              <w:rPr>
                <w:rFonts w:ascii="Times New Roman" w:hAnsi="Times New Roman" w:cs="Times New Roman"/>
                <w:iCs/>
                <w:sz w:val="20"/>
                <w:szCs w:val="20"/>
              </w:rPr>
              <w:t>254.0</w:t>
            </w:r>
            <w:r w:rsidR="00801305" w:rsidRPr="009E0336">
              <w:rPr>
                <w:rFonts w:ascii="Times New Roman" w:hAnsi="Times New Roman" w:cs="Times New Roman"/>
                <w:iCs/>
                <w:sz w:val="20"/>
                <w:szCs w:val="20"/>
              </w:rPr>
              <w:t>00,00</w:t>
            </w:r>
            <w:r w:rsidRPr="009E0336">
              <w:rPr>
                <w:rFonts w:ascii="Times New Roman" w:hAnsi="Times New Roman" w:cs="Times New Roman"/>
                <w:iCs/>
                <w:sz w:val="20"/>
                <w:szCs w:val="20"/>
              </w:rPr>
              <w:t xml:space="preserve"> </w:t>
            </w:r>
            <w:r w:rsidRPr="009E0336">
              <w:rPr>
                <w:rFonts w:ascii="Times New Roman" w:eastAsia="Times New Roman" w:hAnsi="Times New Roman" w:cs="Times New Roman"/>
                <w:bCs/>
                <w:kern w:val="0"/>
                <w:sz w:val="20"/>
                <w:szCs w:val="20"/>
                <w:lang w:eastAsia="ar-SA"/>
              </w:rPr>
              <w:t xml:space="preserve">€ (veći su za </w:t>
            </w:r>
            <w:r w:rsidR="00C97F9A" w:rsidRPr="009E0336">
              <w:rPr>
                <w:rFonts w:ascii="Times New Roman" w:eastAsia="Times New Roman" w:hAnsi="Times New Roman" w:cs="Times New Roman"/>
                <w:bCs/>
                <w:kern w:val="0"/>
                <w:sz w:val="20"/>
                <w:szCs w:val="20"/>
                <w:lang w:eastAsia="ar-SA"/>
              </w:rPr>
              <w:t>0,4</w:t>
            </w:r>
            <w:r w:rsidRPr="009E0336">
              <w:rPr>
                <w:rFonts w:ascii="Times New Roman" w:eastAsia="Times New Roman" w:hAnsi="Times New Roman" w:cs="Times New Roman"/>
                <w:bCs/>
                <w:kern w:val="0"/>
                <w:sz w:val="20"/>
                <w:szCs w:val="20"/>
                <w:lang w:eastAsia="ar-SA"/>
              </w:rPr>
              <w:t xml:space="preserve"> % u odnosu na 202</w:t>
            </w:r>
            <w:r w:rsidR="00C97F9A" w:rsidRPr="009E0336">
              <w:rPr>
                <w:rFonts w:ascii="Times New Roman" w:eastAsia="Times New Roman" w:hAnsi="Times New Roman" w:cs="Times New Roman"/>
                <w:bCs/>
                <w:kern w:val="0"/>
                <w:sz w:val="20"/>
                <w:szCs w:val="20"/>
                <w:lang w:eastAsia="ar-SA"/>
              </w:rPr>
              <w:t>5</w:t>
            </w:r>
            <w:r w:rsidRPr="009E0336">
              <w:rPr>
                <w:rFonts w:ascii="Times New Roman" w:eastAsia="Times New Roman" w:hAnsi="Times New Roman" w:cs="Times New Roman"/>
                <w:bCs/>
                <w:kern w:val="0"/>
                <w:sz w:val="20"/>
                <w:szCs w:val="20"/>
                <w:lang w:eastAsia="ar-SA"/>
              </w:rPr>
              <w:t xml:space="preserve">.g.) i rashodi za nabavu proizvedene dugotrajne imovine u iznosu od </w:t>
            </w:r>
            <w:r w:rsidR="00C97F9A" w:rsidRPr="009E0336">
              <w:rPr>
                <w:rFonts w:ascii="Times New Roman" w:eastAsia="Times New Roman" w:hAnsi="Times New Roman" w:cs="Times New Roman"/>
                <w:bCs/>
                <w:kern w:val="0"/>
                <w:sz w:val="20"/>
                <w:szCs w:val="20"/>
                <w:lang w:eastAsia="ar-SA"/>
              </w:rPr>
              <w:t>2.180</w:t>
            </w:r>
            <w:r w:rsidR="00801305" w:rsidRPr="009E0336">
              <w:rPr>
                <w:rFonts w:ascii="Times New Roman" w:eastAsia="Times New Roman" w:hAnsi="Times New Roman" w:cs="Times New Roman"/>
                <w:bCs/>
                <w:kern w:val="0"/>
                <w:sz w:val="20"/>
                <w:szCs w:val="20"/>
                <w:lang w:eastAsia="ar-SA"/>
              </w:rPr>
              <w:t>.</w:t>
            </w:r>
            <w:r w:rsidR="00C97F9A" w:rsidRPr="009E0336">
              <w:rPr>
                <w:rFonts w:ascii="Times New Roman" w:eastAsia="Times New Roman" w:hAnsi="Times New Roman" w:cs="Times New Roman"/>
                <w:bCs/>
                <w:kern w:val="0"/>
                <w:sz w:val="20"/>
                <w:szCs w:val="20"/>
                <w:lang w:eastAsia="ar-SA"/>
              </w:rPr>
              <w:t>0</w:t>
            </w:r>
            <w:r w:rsidR="00801305" w:rsidRPr="009E0336">
              <w:rPr>
                <w:rFonts w:ascii="Times New Roman" w:eastAsia="Times New Roman" w:hAnsi="Times New Roman" w:cs="Times New Roman"/>
                <w:bCs/>
                <w:kern w:val="0"/>
                <w:sz w:val="20"/>
                <w:szCs w:val="20"/>
                <w:lang w:eastAsia="ar-SA"/>
              </w:rPr>
              <w:t>00,00</w:t>
            </w:r>
            <w:r w:rsidRPr="009E0336">
              <w:rPr>
                <w:rFonts w:ascii="Times New Roman" w:eastAsia="Times New Roman" w:hAnsi="Times New Roman" w:cs="Times New Roman"/>
                <w:bCs/>
                <w:kern w:val="0"/>
                <w:sz w:val="20"/>
                <w:szCs w:val="20"/>
                <w:lang w:eastAsia="ar-SA"/>
              </w:rPr>
              <w:t xml:space="preserve"> € (</w:t>
            </w:r>
            <w:r w:rsidR="00C97F9A" w:rsidRPr="009E0336">
              <w:rPr>
                <w:rFonts w:ascii="Times New Roman" w:eastAsia="Times New Roman" w:hAnsi="Times New Roman" w:cs="Times New Roman"/>
                <w:bCs/>
                <w:kern w:val="0"/>
                <w:sz w:val="20"/>
                <w:szCs w:val="20"/>
                <w:lang w:eastAsia="ar-SA"/>
              </w:rPr>
              <w:t xml:space="preserve">veći </w:t>
            </w:r>
            <w:r w:rsidRPr="009E0336">
              <w:rPr>
                <w:rFonts w:ascii="Times New Roman" w:eastAsia="Times New Roman" w:hAnsi="Times New Roman" w:cs="Times New Roman"/>
                <w:bCs/>
                <w:kern w:val="0"/>
                <w:sz w:val="20"/>
                <w:szCs w:val="20"/>
                <w:lang w:eastAsia="ar-SA"/>
              </w:rPr>
              <w:t xml:space="preserve">su za </w:t>
            </w:r>
            <w:r w:rsidR="00C97F9A" w:rsidRPr="009E0336">
              <w:rPr>
                <w:rFonts w:ascii="Times New Roman" w:eastAsia="Times New Roman" w:hAnsi="Times New Roman" w:cs="Times New Roman"/>
                <w:bCs/>
                <w:kern w:val="0"/>
                <w:sz w:val="20"/>
                <w:szCs w:val="20"/>
                <w:lang w:eastAsia="ar-SA"/>
              </w:rPr>
              <w:t>14,3</w:t>
            </w:r>
            <w:r w:rsidRPr="009E0336">
              <w:rPr>
                <w:rFonts w:ascii="Times New Roman" w:eastAsia="Times New Roman" w:hAnsi="Times New Roman" w:cs="Times New Roman"/>
                <w:bCs/>
                <w:kern w:val="0"/>
                <w:sz w:val="20"/>
                <w:szCs w:val="20"/>
                <w:lang w:eastAsia="ar-SA"/>
              </w:rPr>
              <w:t xml:space="preserve"> % u odnosu na 202</w:t>
            </w:r>
            <w:r w:rsidR="00C97F9A" w:rsidRPr="009E0336">
              <w:rPr>
                <w:rFonts w:ascii="Times New Roman" w:eastAsia="Times New Roman" w:hAnsi="Times New Roman" w:cs="Times New Roman"/>
                <w:bCs/>
                <w:kern w:val="0"/>
                <w:sz w:val="20"/>
                <w:szCs w:val="20"/>
                <w:lang w:eastAsia="ar-SA"/>
              </w:rPr>
              <w:t>5</w:t>
            </w:r>
            <w:r w:rsidRPr="009E0336">
              <w:rPr>
                <w:rFonts w:ascii="Times New Roman" w:eastAsia="Times New Roman" w:hAnsi="Times New Roman" w:cs="Times New Roman"/>
                <w:bCs/>
                <w:kern w:val="0"/>
                <w:sz w:val="20"/>
                <w:szCs w:val="20"/>
                <w:lang w:eastAsia="ar-SA"/>
              </w:rPr>
              <w:t xml:space="preserve">.g.). </w:t>
            </w:r>
          </w:p>
          <w:p w14:paraId="77FFFC49" w14:textId="74144B79" w:rsidR="00FA6BF1" w:rsidRPr="009E0336" w:rsidRDefault="00091387" w:rsidP="00C97F9A">
            <w:pPr>
              <w:jc w:val="both"/>
              <w:rPr>
                <w:rFonts w:ascii="Times New Roman" w:eastAsia="Times New Roman" w:hAnsi="Times New Roman" w:cs="Times New Roman"/>
                <w:bCs/>
                <w:kern w:val="0"/>
                <w:sz w:val="20"/>
                <w:szCs w:val="20"/>
                <w:lang w:eastAsia="ar-SA"/>
              </w:rPr>
            </w:pPr>
            <w:r w:rsidRPr="009E0336">
              <w:rPr>
                <w:rFonts w:ascii="Times New Roman" w:eastAsia="Times New Roman" w:hAnsi="Times New Roman" w:cs="Times New Roman"/>
                <w:bCs/>
                <w:kern w:val="0"/>
                <w:sz w:val="20"/>
                <w:szCs w:val="20"/>
                <w:lang w:eastAsia="ar-SA"/>
              </w:rPr>
              <w:t>Planirana sredstva za ovu aktivnost u 202</w:t>
            </w:r>
            <w:r w:rsidR="00C97F9A" w:rsidRPr="009E0336">
              <w:rPr>
                <w:rFonts w:ascii="Times New Roman" w:eastAsia="Times New Roman" w:hAnsi="Times New Roman" w:cs="Times New Roman"/>
                <w:bCs/>
                <w:kern w:val="0"/>
                <w:sz w:val="20"/>
                <w:szCs w:val="20"/>
                <w:lang w:eastAsia="ar-SA"/>
              </w:rPr>
              <w:t>7</w:t>
            </w:r>
            <w:r w:rsidRPr="009E0336">
              <w:rPr>
                <w:rFonts w:ascii="Times New Roman" w:eastAsia="Times New Roman" w:hAnsi="Times New Roman" w:cs="Times New Roman"/>
                <w:bCs/>
                <w:kern w:val="0"/>
                <w:sz w:val="20"/>
                <w:szCs w:val="20"/>
                <w:lang w:eastAsia="ar-SA"/>
              </w:rPr>
              <w:t xml:space="preserve">.g. ukupno su manja za </w:t>
            </w:r>
            <w:r w:rsidR="00C97F9A" w:rsidRPr="009E0336">
              <w:rPr>
                <w:rFonts w:ascii="Times New Roman" w:eastAsia="Times New Roman" w:hAnsi="Times New Roman" w:cs="Times New Roman"/>
                <w:bCs/>
                <w:kern w:val="0"/>
                <w:sz w:val="20"/>
                <w:szCs w:val="20"/>
                <w:lang w:eastAsia="ar-SA"/>
              </w:rPr>
              <w:t>0,9</w:t>
            </w:r>
            <w:r w:rsidRPr="009E0336">
              <w:rPr>
                <w:rFonts w:ascii="Times New Roman" w:eastAsia="Times New Roman" w:hAnsi="Times New Roman" w:cs="Times New Roman"/>
                <w:bCs/>
                <w:kern w:val="0"/>
                <w:sz w:val="20"/>
                <w:szCs w:val="20"/>
                <w:lang w:eastAsia="ar-SA"/>
              </w:rPr>
              <w:t xml:space="preserve"> % u odnosu na 202</w:t>
            </w:r>
            <w:r w:rsidR="00C97F9A" w:rsidRPr="009E0336">
              <w:rPr>
                <w:rFonts w:ascii="Times New Roman" w:eastAsia="Times New Roman" w:hAnsi="Times New Roman" w:cs="Times New Roman"/>
                <w:bCs/>
                <w:kern w:val="0"/>
                <w:sz w:val="20"/>
                <w:szCs w:val="20"/>
                <w:lang w:eastAsia="ar-SA"/>
              </w:rPr>
              <w:t>6</w:t>
            </w:r>
            <w:r w:rsidRPr="009E0336">
              <w:rPr>
                <w:rFonts w:ascii="Times New Roman" w:eastAsia="Times New Roman" w:hAnsi="Times New Roman" w:cs="Times New Roman"/>
                <w:bCs/>
                <w:kern w:val="0"/>
                <w:sz w:val="20"/>
                <w:szCs w:val="20"/>
                <w:lang w:eastAsia="ar-SA"/>
              </w:rPr>
              <w:t xml:space="preserve">.g. </w:t>
            </w:r>
            <w:r w:rsidR="0026160F" w:rsidRPr="009E0336">
              <w:rPr>
                <w:rFonts w:ascii="Times New Roman" w:eastAsia="Times New Roman" w:hAnsi="Times New Roman" w:cs="Times New Roman"/>
                <w:bCs/>
                <w:kern w:val="0"/>
                <w:sz w:val="20"/>
                <w:szCs w:val="20"/>
                <w:lang w:eastAsia="ar-SA"/>
              </w:rPr>
              <w:t xml:space="preserve">jer </w:t>
            </w:r>
            <w:r w:rsidR="00C97F9A" w:rsidRPr="009E0336">
              <w:rPr>
                <w:rFonts w:ascii="Times New Roman" w:eastAsia="Times New Roman" w:hAnsi="Times New Roman" w:cs="Times New Roman"/>
                <w:bCs/>
                <w:kern w:val="0"/>
                <w:sz w:val="20"/>
                <w:szCs w:val="20"/>
                <w:lang w:eastAsia="ar-SA"/>
              </w:rPr>
              <w:t xml:space="preserve">je </w:t>
            </w:r>
            <w:r w:rsidR="0026160F" w:rsidRPr="009E0336">
              <w:rPr>
                <w:rFonts w:ascii="Times New Roman" w:eastAsia="Times New Roman" w:hAnsi="Times New Roman" w:cs="Times New Roman"/>
                <w:bCs/>
                <w:kern w:val="0"/>
                <w:sz w:val="20"/>
                <w:szCs w:val="20"/>
                <w:lang w:eastAsia="ar-SA"/>
              </w:rPr>
              <w:t>u 202</w:t>
            </w:r>
            <w:r w:rsidR="00C97F9A" w:rsidRPr="009E0336">
              <w:rPr>
                <w:rFonts w:ascii="Times New Roman" w:eastAsia="Times New Roman" w:hAnsi="Times New Roman" w:cs="Times New Roman"/>
                <w:bCs/>
                <w:kern w:val="0"/>
                <w:sz w:val="20"/>
                <w:szCs w:val="20"/>
                <w:lang w:eastAsia="ar-SA"/>
              </w:rPr>
              <w:t>7</w:t>
            </w:r>
            <w:r w:rsidR="0026160F" w:rsidRPr="009E0336">
              <w:rPr>
                <w:rFonts w:ascii="Times New Roman" w:eastAsia="Times New Roman" w:hAnsi="Times New Roman" w:cs="Times New Roman"/>
                <w:bCs/>
                <w:kern w:val="0"/>
                <w:sz w:val="20"/>
                <w:szCs w:val="20"/>
                <w:lang w:eastAsia="ar-SA"/>
              </w:rPr>
              <w:t>.g. iz proračuna SDŽ</w:t>
            </w:r>
            <w:r w:rsidR="00162E75" w:rsidRPr="009E0336">
              <w:rPr>
                <w:rFonts w:ascii="Times New Roman" w:eastAsia="Times New Roman" w:hAnsi="Times New Roman" w:cs="Times New Roman"/>
                <w:bCs/>
                <w:kern w:val="0"/>
                <w:sz w:val="20"/>
                <w:szCs w:val="20"/>
                <w:lang w:eastAsia="ar-SA"/>
              </w:rPr>
              <w:t xml:space="preserve"> odobren</w:t>
            </w:r>
            <w:r w:rsidR="00C97F9A" w:rsidRPr="009E0336">
              <w:rPr>
                <w:rFonts w:ascii="Times New Roman" w:eastAsia="Times New Roman" w:hAnsi="Times New Roman" w:cs="Times New Roman"/>
                <w:bCs/>
                <w:kern w:val="0"/>
                <w:sz w:val="20"/>
                <w:szCs w:val="20"/>
                <w:lang w:eastAsia="ar-SA"/>
              </w:rPr>
              <w:t xml:space="preserve">o 2,5% manje </w:t>
            </w:r>
            <w:r w:rsidR="00162E75" w:rsidRPr="009E0336">
              <w:rPr>
                <w:rFonts w:ascii="Times New Roman" w:eastAsia="Times New Roman" w:hAnsi="Times New Roman" w:cs="Times New Roman"/>
                <w:bCs/>
                <w:kern w:val="0"/>
                <w:sz w:val="20"/>
                <w:szCs w:val="20"/>
                <w:lang w:eastAsia="ar-SA"/>
              </w:rPr>
              <w:t>sredst</w:t>
            </w:r>
            <w:r w:rsidR="00C97F9A" w:rsidRPr="009E0336">
              <w:rPr>
                <w:rFonts w:ascii="Times New Roman" w:eastAsia="Times New Roman" w:hAnsi="Times New Roman" w:cs="Times New Roman"/>
                <w:bCs/>
                <w:kern w:val="0"/>
                <w:sz w:val="20"/>
                <w:szCs w:val="20"/>
                <w:lang w:eastAsia="ar-SA"/>
              </w:rPr>
              <w:t>a</w:t>
            </w:r>
            <w:r w:rsidR="00162E75" w:rsidRPr="009E0336">
              <w:rPr>
                <w:rFonts w:ascii="Times New Roman" w:eastAsia="Times New Roman" w:hAnsi="Times New Roman" w:cs="Times New Roman"/>
                <w:bCs/>
                <w:kern w:val="0"/>
                <w:sz w:val="20"/>
                <w:szCs w:val="20"/>
                <w:lang w:eastAsia="ar-SA"/>
              </w:rPr>
              <w:t>va</w:t>
            </w:r>
            <w:r w:rsidR="00FC3B84" w:rsidRPr="009E0336">
              <w:rPr>
                <w:rFonts w:ascii="Times New Roman" w:eastAsia="Times New Roman" w:hAnsi="Times New Roman" w:cs="Times New Roman"/>
                <w:bCs/>
                <w:kern w:val="0"/>
                <w:sz w:val="20"/>
                <w:szCs w:val="20"/>
                <w:lang w:eastAsia="ar-SA"/>
              </w:rPr>
              <w:t xml:space="preserve"> za ovu namjenu</w:t>
            </w:r>
            <w:r w:rsidR="00162E75" w:rsidRPr="009E0336">
              <w:rPr>
                <w:rFonts w:ascii="Times New Roman" w:eastAsia="Times New Roman" w:hAnsi="Times New Roman" w:cs="Times New Roman"/>
                <w:bCs/>
                <w:kern w:val="0"/>
                <w:sz w:val="20"/>
                <w:szCs w:val="20"/>
                <w:lang w:eastAsia="ar-SA"/>
              </w:rPr>
              <w:t>.</w:t>
            </w:r>
            <w:r w:rsidR="00C97F9A" w:rsidRPr="009E0336">
              <w:rPr>
                <w:rFonts w:ascii="Times New Roman" w:eastAsia="Times New Roman" w:hAnsi="Times New Roman" w:cs="Times New Roman"/>
                <w:bCs/>
                <w:kern w:val="0"/>
                <w:sz w:val="20"/>
                <w:szCs w:val="20"/>
                <w:lang w:eastAsia="ar-SA"/>
              </w:rPr>
              <w:t xml:space="preserve"> Prihodom od SDŽ nastaviti će se proces kontinuiranog usklađenja sa standardima kroz financiranje </w:t>
            </w:r>
            <w:r w:rsidR="00C97F9A" w:rsidRPr="009E0336">
              <w:rPr>
                <w:rFonts w:ascii="Times New Roman" w:hAnsi="Times New Roman" w:cs="Times New Roman"/>
                <w:sz w:val="20"/>
                <w:szCs w:val="20"/>
              </w:rPr>
              <w:t xml:space="preserve">adaptaciju ispostave Muć i Šolta 250.000,00 €, nabava trajnih licenci 5.000,00 €, nabava računalne opreme 35.000,00 €, nabava namještaja i opreme 67.000,00 €, nabava </w:t>
            </w:r>
            <w:proofErr w:type="spellStart"/>
            <w:r w:rsidR="00C97F9A" w:rsidRPr="009E0336">
              <w:rPr>
                <w:rFonts w:ascii="Times New Roman" w:hAnsi="Times New Roman" w:cs="Times New Roman"/>
                <w:sz w:val="20"/>
                <w:szCs w:val="20"/>
              </w:rPr>
              <w:t>tetra</w:t>
            </w:r>
            <w:proofErr w:type="spellEnd"/>
            <w:r w:rsidR="00C97F9A" w:rsidRPr="009E0336">
              <w:rPr>
                <w:rFonts w:ascii="Times New Roman" w:hAnsi="Times New Roman" w:cs="Times New Roman"/>
                <w:sz w:val="20"/>
                <w:szCs w:val="20"/>
              </w:rPr>
              <w:t xml:space="preserve"> radio komunikacijskih uređaja 40.000,00 €, nabava medicinske opreme i uređaja (defibrilator, aspirator, respirator i Lucas uređaj za reanimaciju) 422.000,00 € te nabava vozila za hitnu medicinu i sanitetski prijevoz 707.632,00 €. </w:t>
            </w:r>
            <w:r w:rsidR="00162E75" w:rsidRPr="009E0336">
              <w:rPr>
                <w:rFonts w:ascii="Times New Roman" w:eastAsia="Times New Roman" w:hAnsi="Times New Roman" w:cs="Times New Roman"/>
                <w:bCs/>
                <w:kern w:val="0"/>
                <w:sz w:val="20"/>
                <w:szCs w:val="20"/>
                <w:lang w:eastAsia="ar-SA"/>
              </w:rPr>
              <w:t>Prihod</w:t>
            </w:r>
            <w:r w:rsidR="00C97F9A" w:rsidRPr="009E0336">
              <w:rPr>
                <w:rFonts w:ascii="Times New Roman" w:eastAsia="Times New Roman" w:hAnsi="Times New Roman" w:cs="Times New Roman"/>
                <w:bCs/>
                <w:kern w:val="0"/>
                <w:sz w:val="20"/>
                <w:szCs w:val="20"/>
                <w:lang w:eastAsia="ar-SA"/>
              </w:rPr>
              <w:t>om</w:t>
            </w:r>
            <w:r w:rsidR="00162E75" w:rsidRPr="009E0336">
              <w:rPr>
                <w:rFonts w:ascii="Times New Roman" w:eastAsia="Times New Roman" w:hAnsi="Times New Roman" w:cs="Times New Roman"/>
                <w:bCs/>
                <w:kern w:val="0"/>
                <w:sz w:val="20"/>
                <w:szCs w:val="20"/>
                <w:lang w:eastAsia="ar-SA"/>
              </w:rPr>
              <w:t xml:space="preserve"> iz decentraliziranih sredstava</w:t>
            </w:r>
            <w:r w:rsidR="00C97F9A" w:rsidRPr="009E0336">
              <w:rPr>
                <w:rFonts w:ascii="Times New Roman" w:eastAsia="Times New Roman" w:hAnsi="Times New Roman" w:cs="Times New Roman"/>
                <w:bCs/>
                <w:kern w:val="0"/>
                <w:sz w:val="20"/>
                <w:szCs w:val="20"/>
                <w:lang w:eastAsia="ar-SA"/>
              </w:rPr>
              <w:t xml:space="preserve">, koji je ostao </w:t>
            </w:r>
            <w:r w:rsidR="00162E75" w:rsidRPr="009E0336">
              <w:rPr>
                <w:rFonts w:ascii="Times New Roman" w:eastAsia="Times New Roman" w:hAnsi="Times New Roman" w:cs="Times New Roman"/>
                <w:bCs/>
                <w:kern w:val="0"/>
                <w:sz w:val="20"/>
                <w:szCs w:val="20"/>
                <w:lang w:eastAsia="ar-SA"/>
              </w:rPr>
              <w:t xml:space="preserve">u istom iznosu </w:t>
            </w:r>
            <w:r w:rsidR="00C97F9A" w:rsidRPr="009E0336">
              <w:rPr>
                <w:rFonts w:ascii="Times New Roman" w:eastAsia="Times New Roman" w:hAnsi="Times New Roman" w:cs="Times New Roman"/>
                <w:bCs/>
                <w:kern w:val="0"/>
                <w:sz w:val="20"/>
                <w:szCs w:val="20"/>
                <w:lang w:eastAsia="ar-SA"/>
              </w:rPr>
              <w:t xml:space="preserve">kao i prethodne godine, planira se financirati </w:t>
            </w:r>
            <w:r w:rsidR="00C97F9A" w:rsidRPr="009E0336">
              <w:rPr>
                <w:rFonts w:ascii="Times New Roman" w:hAnsi="Times New Roman" w:cs="Times New Roman"/>
                <w:sz w:val="20"/>
                <w:szCs w:val="20"/>
              </w:rPr>
              <w:t>nabava auto guma 85.000,00 €, nabava službene radne odjeće 120.000,00 €, tekuće i investicijsko održavanje objekata 61.000,00 €, redovan servis i održavanje medicinske, komunikacijske, informatičke i druge opreme 145.000,00 €, održavanje voznog parka 726.000,00 € i nabava vozila 605.368,00 €. U 2027.g. v</w:t>
            </w:r>
            <w:r w:rsidR="00162E75" w:rsidRPr="009E0336">
              <w:rPr>
                <w:rFonts w:ascii="Times New Roman" w:eastAsia="Times New Roman" w:hAnsi="Times New Roman" w:cs="Times New Roman"/>
                <w:bCs/>
                <w:kern w:val="0"/>
                <w:sz w:val="20"/>
                <w:szCs w:val="20"/>
                <w:lang w:eastAsia="ar-SA"/>
              </w:rPr>
              <w:t xml:space="preserve">lastiti prihodi i prihodi od prodaje povećani </w:t>
            </w:r>
            <w:r w:rsidR="00C97F9A" w:rsidRPr="009E0336">
              <w:rPr>
                <w:rFonts w:ascii="Times New Roman" w:eastAsia="Times New Roman" w:hAnsi="Times New Roman" w:cs="Times New Roman"/>
                <w:bCs/>
                <w:kern w:val="0"/>
                <w:sz w:val="20"/>
                <w:szCs w:val="20"/>
                <w:lang w:eastAsia="ar-SA"/>
              </w:rPr>
              <w:t xml:space="preserve">su </w:t>
            </w:r>
            <w:r w:rsidR="00162E75" w:rsidRPr="009E0336">
              <w:rPr>
                <w:rFonts w:ascii="Times New Roman" w:eastAsia="Times New Roman" w:hAnsi="Times New Roman" w:cs="Times New Roman"/>
                <w:bCs/>
                <w:kern w:val="0"/>
                <w:sz w:val="20"/>
                <w:szCs w:val="20"/>
                <w:lang w:eastAsia="ar-SA"/>
              </w:rPr>
              <w:t>za stopu inflacije</w:t>
            </w:r>
            <w:r w:rsidR="00C97F9A" w:rsidRPr="009E0336">
              <w:rPr>
                <w:rFonts w:ascii="Times New Roman" w:eastAsia="Times New Roman" w:hAnsi="Times New Roman" w:cs="Times New Roman"/>
                <w:bCs/>
                <w:kern w:val="0"/>
                <w:sz w:val="20"/>
                <w:szCs w:val="20"/>
                <w:lang w:eastAsia="ar-SA"/>
              </w:rPr>
              <w:t xml:space="preserve"> te se iz ovih izvora planira financiranje nabave medicinske opreme</w:t>
            </w:r>
            <w:r w:rsidR="00162E75" w:rsidRPr="009E0336">
              <w:rPr>
                <w:rFonts w:ascii="Times New Roman" w:eastAsia="Times New Roman" w:hAnsi="Times New Roman" w:cs="Times New Roman"/>
                <w:bCs/>
                <w:kern w:val="0"/>
                <w:sz w:val="20"/>
                <w:szCs w:val="20"/>
                <w:lang w:eastAsia="ar-SA"/>
              </w:rPr>
              <w:t xml:space="preserve">. </w:t>
            </w:r>
            <w:r w:rsidRPr="009E0336">
              <w:rPr>
                <w:rFonts w:ascii="Times New Roman" w:hAnsi="Times New Roman" w:cs="Times New Roman"/>
                <w:iCs/>
                <w:sz w:val="20"/>
                <w:szCs w:val="20"/>
              </w:rPr>
              <w:t>U 202</w:t>
            </w:r>
            <w:r w:rsidR="00C97F9A" w:rsidRPr="009E0336">
              <w:rPr>
                <w:rFonts w:ascii="Times New Roman" w:hAnsi="Times New Roman" w:cs="Times New Roman"/>
                <w:iCs/>
                <w:sz w:val="20"/>
                <w:szCs w:val="20"/>
              </w:rPr>
              <w:t>7</w:t>
            </w:r>
            <w:r w:rsidRPr="009E0336">
              <w:rPr>
                <w:rFonts w:ascii="Times New Roman" w:hAnsi="Times New Roman" w:cs="Times New Roman"/>
                <w:iCs/>
                <w:sz w:val="20"/>
                <w:szCs w:val="20"/>
              </w:rPr>
              <w:t xml:space="preserve">. godini materijalni rashodi </w:t>
            </w:r>
            <w:r w:rsidR="00162E75" w:rsidRPr="009E0336">
              <w:rPr>
                <w:rFonts w:ascii="Times New Roman" w:hAnsi="Times New Roman" w:cs="Times New Roman"/>
                <w:iCs/>
                <w:sz w:val="20"/>
                <w:szCs w:val="20"/>
              </w:rPr>
              <w:t>planirani su u iznosu od 1.1</w:t>
            </w:r>
            <w:r w:rsidR="00C97F9A" w:rsidRPr="009E0336">
              <w:rPr>
                <w:rFonts w:ascii="Times New Roman" w:hAnsi="Times New Roman" w:cs="Times New Roman"/>
                <w:iCs/>
                <w:sz w:val="20"/>
                <w:szCs w:val="20"/>
              </w:rPr>
              <w:t>59.000</w:t>
            </w:r>
            <w:r w:rsidR="00162E75" w:rsidRPr="009E0336">
              <w:rPr>
                <w:rFonts w:ascii="Times New Roman" w:hAnsi="Times New Roman" w:cs="Times New Roman"/>
                <w:iCs/>
                <w:sz w:val="20"/>
                <w:szCs w:val="20"/>
              </w:rPr>
              <w:t>,00 €</w:t>
            </w:r>
            <w:r w:rsidR="00FC3B84" w:rsidRPr="009E0336">
              <w:rPr>
                <w:rFonts w:ascii="Times New Roman" w:hAnsi="Times New Roman" w:cs="Times New Roman"/>
                <w:iCs/>
                <w:sz w:val="20"/>
                <w:szCs w:val="20"/>
              </w:rPr>
              <w:t xml:space="preserve"> (veći su za </w:t>
            </w:r>
            <w:r w:rsidR="00C97F9A" w:rsidRPr="009E0336">
              <w:rPr>
                <w:rFonts w:ascii="Times New Roman" w:hAnsi="Times New Roman" w:cs="Times New Roman"/>
                <w:iCs/>
                <w:sz w:val="20"/>
                <w:szCs w:val="20"/>
              </w:rPr>
              <w:t>8,8</w:t>
            </w:r>
            <w:r w:rsidR="00FC3B84" w:rsidRPr="009E0336">
              <w:rPr>
                <w:rFonts w:ascii="Times New Roman" w:hAnsi="Times New Roman" w:cs="Times New Roman"/>
                <w:iCs/>
                <w:sz w:val="20"/>
                <w:szCs w:val="20"/>
              </w:rPr>
              <w:t xml:space="preserve"> % u odnosu na 202</w:t>
            </w:r>
            <w:r w:rsidR="00C97F9A" w:rsidRPr="009E0336">
              <w:rPr>
                <w:rFonts w:ascii="Times New Roman" w:hAnsi="Times New Roman" w:cs="Times New Roman"/>
                <w:iCs/>
                <w:sz w:val="20"/>
                <w:szCs w:val="20"/>
              </w:rPr>
              <w:t>6</w:t>
            </w:r>
            <w:r w:rsidR="00FC3B84" w:rsidRPr="009E0336">
              <w:rPr>
                <w:rFonts w:ascii="Times New Roman" w:hAnsi="Times New Roman" w:cs="Times New Roman"/>
                <w:iCs/>
                <w:sz w:val="20"/>
                <w:szCs w:val="20"/>
              </w:rPr>
              <w:t>.g.)</w:t>
            </w:r>
            <w:r w:rsidR="00162E75" w:rsidRPr="009E0336">
              <w:rPr>
                <w:rFonts w:ascii="Times New Roman" w:hAnsi="Times New Roman" w:cs="Times New Roman"/>
                <w:iCs/>
                <w:sz w:val="20"/>
                <w:szCs w:val="20"/>
              </w:rPr>
              <w:t xml:space="preserve">, rashodi za nabavu </w:t>
            </w:r>
            <w:proofErr w:type="spellStart"/>
            <w:r w:rsidR="00162E75" w:rsidRPr="009E0336">
              <w:rPr>
                <w:rFonts w:ascii="Times New Roman" w:hAnsi="Times New Roman" w:cs="Times New Roman"/>
                <w:iCs/>
                <w:sz w:val="20"/>
                <w:szCs w:val="20"/>
              </w:rPr>
              <w:t>neproizvedene</w:t>
            </w:r>
            <w:proofErr w:type="spellEnd"/>
            <w:r w:rsidR="00162E75" w:rsidRPr="009E0336">
              <w:rPr>
                <w:rFonts w:ascii="Times New Roman" w:hAnsi="Times New Roman" w:cs="Times New Roman"/>
                <w:iCs/>
                <w:sz w:val="20"/>
                <w:szCs w:val="20"/>
              </w:rPr>
              <w:t xml:space="preserve"> dugotrajne imovine u iznosu od </w:t>
            </w:r>
            <w:r w:rsidR="00C97F9A" w:rsidRPr="009E0336">
              <w:rPr>
                <w:rFonts w:ascii="Times New Roman" w:hAnsi="Times New Roman" w:cs="Times New Roman"/>
                <w:iCs/>
                <w:sz w:val="20"/>
                <w:szCs w:val="20"/>
              </w:rPr>
              <w:t>255</w:t>
            </w:r>
            <w:r w:rsidR="00162E75" w:rsidRPr="009E0336">
              <w:rPr>
                <w:rFonts w:ascii="Times New Roman" w:hAnsi="Times New Roman" w:cs="Times New Roman"/>
                <w:iCs/>
                <w:sz w:val="20"/>
                <w:szCs w:val="20"/>
              </w:rPr>
              <w:t>.</w:t>
            </w:r>
            <w:r w:rsidR="00C97F9A" w:rsidRPr="009E0336">
              <w:rPr>
                <w:rFonts w:ascii="Times New Roman" w:hAnsi="Times New Roman" w:cs="Times New Roman"/>
                <w:iCs/>
                <w:sz w:val="20"/>
                <w:szCs w:val="20"/>
              </w:rPr>
              <w:t>0</w:t>
            </w:r>
            <w:r w:rsidR="00162E75" w:rsidRPr="009E0336">
              <w:rPr>
                <w:rFonts w:ascii="Times New Roman" w:hAnsi="Times New Roman" w:cs="Times New Roman"/>
                <w:iCs/>
                <w:sz w:val="20"/>
                <w:szCs w:val="20"/>
              </w:rPr>
              <w:t>00,00 €</w:t>
            </w:r>
            <w:r w:rsidR="00FC3B84" w:rsidRPr="009E0336">
              <w:rPr>
                <w:rFonts w:ascii="Times New Roman" w:hAnsi="Times New Roman" w:cs="Times New Roman"/>
                <w:iCs/>
                <w:sz w:val="20"/>
                <w:szCs w:val="20"/>
              </w:rPr>
              <w:t xml:space="preserve"> (veći su za </w:t>
            </w:r>
            <w:r w:rsidR="00C97F9A" w:rsidRPr="009E0336">
              <w:rPr>
                <w:rFonts w:ascii="Times New Roman" w:hAnsi="Times New Roman" w:cs="Times New Roman"/>
                <w:iCs/>
                <w:sz w:val="20"/>
                <w:szCs w:val="20"/>
              </w:rPr>
              <w:t>0,4</w:t>
            </w:r>
            <w:r w:rsidR="00FC3B84" w:rsidRPr="009E0336">
              <w:rPr>
                <w:rFonts w:ascii="Times New Roman" w:hAnsi="Times New Roman" w:cs="Times New Roman"/>
                <w:iCs/>
                <w:sz w:val="20"/>
                <w:szCs w:val="20"/>
              </w:rPr>
              <w:t>% u odnosu na 202</w:t>
            </w:r>
            <w:r w:rsidR="00C97F9A" w:rsidRPr="009E0336">
              <w:rPr>
                <w:rFonts w:ascii="Times New Roman" w:hAnsi="Times New Roman" w:cs="Times New Roman"/>
                <w:iCs/>
                <w:sz w:val="20"/>
                <w:szCs w:val="20"/>
              </w:rPr>
              <w:t>6</w:t>
            </w:r>
            <w:r w:rsidR="00FC3B84" w:rsidRPr="009E0336">
              <w:rPr>
                <w:rFonts w:ascii="Times New Roman" w:hAnsi="Times New Roman" w:cs="Times New Roman"/>
                <w:iCs/>
                <w:sz w:val="20"/>
                <w:szCs w:val="20"/>
              </w:rPr>
              <w:t>.g.) te</w:t>
            </w:r>
            <w:r w:rsidR="00162E75" w:rsidRPr="009E0336">
              <w:rPr>
                <w:rFonts w:ascii="Times New Roman" w:hAnsi="Times New Roman" w:cs="Times New Roman"/>
                <w:iCs/>
                <w:sz w:val="20"/>
                <w:szCs w:val="20"/>
              </w:rPr>
              <w:t xml:space="preserve"> </w:t>
            </w:r>
            <w:r w:rsidRPr="009E0336">
              <w:rPr>
                <w:rFonts w:ascii="Times New Roman" w:hAnsi="Times New Roman" w:cs="Times New Roman"/>
                <w:iCs/>
                <w:sz w:val="20"/>
                <w:szCs w:val="20"/>
              </w:rPr>
              <w:t xml:space="preserve">rashodi za nabavu </w:t>
            </w:r>
            <w:r w:rsidR="00162E75" w:rsidRPr="009E0336">
              <w:rPr>
                <w:rFonts w:ascii="Times New Roman" w:hAnsi="Times New Roman" w:cs="Times New Roman"/>
                <w:iCs/>
                <w:sz w:val="20"/>
                <w:szCs w:val="20"/>
              </w:rPr>
              <w:t>p</w:t>
            </w:r>
            <w:r w:rsidRPr="009E0336">
              <w:rPr>
                <w:rFonts w:ascii="Times New Roman" w:hAnsi="Times New Roman" w:cs="Times New Roman"/>
                <w:iCs/>
                <w:sz w:val="20"/>
                <w:szCs w:val="20"/>
              </w:rPr>
              <w:t xml:space="preserve">roizvedene dugotrajne imovine </w:t>
            </w:r>
            <w:r w:rsidR="00162E75" w:rsidRPr="009E0336">
              <w:rPr>
                <w:rFonts w:ascii="Times New Roman" w:hAnsi="Times New Roman" w:cs="Times New Roman"/>
                <w:iCs/>
                <w:sz w:val="20"/>
                <w:szCs w:val="20"/>
              </w:rPr>
              <w:t xml:space="preserve">u iznosu od </w:t>
            </w:r>
            <w:r w:rsidR="00C97F9A" w:rsidRPr="009E0336">
              <w:rPr>
                <w:rFonts w:ascii="Times New Roman" w:hAnsi="Times New Roman" w:cs="Times New Roman"/>
                <w:iCs/>
                <w:sz w:val="20"/>
                <w:szCs w:val="20"/>
              </w:rPr>
              <w:t>2.053.000</w:t>
            </w:r>
            <w:r w:rsidR="00FC3B84" w:rsidRPr="009E0336">
              <w:rPr>
                <w:rFonts w:ascii="Times New Roman" w:hAnsi="Times New Roman" w:cs="Times New Roman"/>
                <w:iCs/>
                <w:sz w:val="20"/>
                <w:szCs w:val="20"/>
              </w:rPr>
              <w:t xml:space="preserve">,00 € (manji su za </w:t>
            </w:r>
            <w:r w:rsidR="00C97F9A" w:rsidRPr="009E0336">
              <w:rPr>
                <w:rFonts w:ascii="Times New Roman" w:hAnsi="Times New Roman" w:cs="Times New Roman"/>
                <w:iCs/>
                <w:sz w:val="20"/>
                <w:szCs w:val="20"/>
              </w:rPr>
              <w:t>5,8</w:t>
            </w:r>
            <w:r w:rsidR="00FC3B84" w:rsidRPr="009E0336">
              <w:rPr>
                <w:rFonts w:ascii="Times New Roman" w:hAnsi="Times New Roman" w:cs="Times New Roman"/>
                <w:iCs/>
                <w:sz w:val="20"/>
                <w:szCs w:val="20"/>
              </w:rPr>
              <w:t xml:space="preserve"> % u odnosu na 202</w:t>
            </w:r>
            <w:r w:rsidR="00C97F9A" w:rsidRPr="009E0336">
              <w:rPr>
                <w:rFonts w:ascii="Times New Roman" w:hAnsi="Times New Roman" w:cs="Times New Roman"/>
                <w:iCs/>
                <w:sz w:val="20"/>
                <w:szCs w:val="20"/>
              </w:rPr>
              <w:t>6</w:t>
            </w:r>
            <w:r w:rsidR="00FC3B84" w:rsidRPr="009E0336">
              <w:rPr>
                <w:rFonts w:ascii="Times New Roman" w:hAnsi="Times New Roman" w:cs="Times New Roman"/>
                <w:iCs/>
                <w:sz w:val="20"/>
                <w:szCs w:val="20"/>
              </w:rPr>
              <w:t>.g.).</w:t>
            </w:r>
            <w:r w:rsidRPr="009E0336">
              <w:rPr>
                <w:rFonts w:ascii="Times New Roman" w:eastAsia="Times New Roman" w:hAnsi="Times New Roman" w:cs="Times New Roman"/>
                <w:bCs/>
                <w:kern w:val="0"/>
                <w:sz w:val="20"/>
                <w:szCs w:val="20"/>
                <w:lang w:eastAsia="ar-SA"/>
              </w:rPr>
              <w:t xml:space="preserve"> </w:t>
            </w:r>
          </w:p>
        </w:tc>
      </w:tr>
      <w:tr w:rsidR="00FA6BF1" w:rsidRPr="009E0336" w14:paraId="73038871" w14:textId="77777777">
        <w:trPr>
          <w:trHeight w:val="257"/>
        </w:trPr>
        <w:tc>
          <w:tcPr>
            <w:tcW w:w="940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tbl>
            <w:tblPr>
              <w:tblW w:w="9356" w:type="dxa"/>
              <w:tblLayout w:type="fixed"/>
              <w:tblCellMar>
                <w:left w:w="10" w:type="dxa"/>
                <w:right w:w="10" w:type="dxa"/>
              </w:tblCellMar>
              <w:tblLook w:val="04A0" w:firstRow="1" w:lastRow="0" w:firstColumn="1" w:lastColumn="0" w:noHBand="0" w:noVBand="1"/>
            </w:tblPr>
            <w:tblGrid>
              <w:gridCol w:w="1707"/>
              <w:gridCol w:w="1545"/>
              <w:gridCol w:w="1568"/>
              <w:gridCol w:w="1559"/>
              <w:gridCol w:w="1554"/>
              <w:gridCol w:w="1423"/>
            </w:tblGrid>
            <w:tr w:rsidR="002113AC" w:rsidRPr="009E0336" w14:paraId="3EBA9BA8" w14:textId="77777777" w:rsidTr="00702A1E">
              <w:trPr>
                <w:trHeight w:val="219"/>
              </w:trPr>
              <w:tc>
                <w:tcPr>
                  <w:tcW w:w="170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675BA22" w14:textId="1D2ADD9C" w:rsidR="002113AC" w:rsidRPr="009E0336" w:rsidRDefault="002113AC" w:rsidP="002113AC">
                  <w:pPr>
                    <w:pStyle w:val="Standard"/>
                    <w:spacing w:line="276" w:lineRule="auto"/>
                    <w:jc w:val="center"/>
                    <w:rPr>
                      <w:sz w:val="20"/>
                      <w:szCs w:val="20"/>
                    </w:rPr>
                  </w:pPr>
                  <w:r w:rsidRPr="009E0336">
                    <w:rPr>
                      <w:b/>
                      <w:bCs/>
                      <w:color w:val="000000"/>
                      <w:sz w:val="20"/>
                      <w:szCs w:val="20"/>
                    </w:rPr>
                    <w:t>Izvršeno 2023.</w:t>
                  </w:r>
                </w:p>
              </w:tc>
              <w:tc>
                <w:tcPr>
                  <w:tcW w:w="1545"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D726CBD" w14:textId="4509BD88" w:rsidR="002113AC" w:rsidRPr="009E0336" w:rsidRDefault="002113AC" w:rsidP="002113AC">
                  <w:pPr>
                    <w:pStyle w:val="Standard"/>
                    <w:spacing w:line="276" w:lineRule="auto"/>
                    <w:jc w:val="center"/>
                    <w:rPr>
                      <w:sz w:val="20"/>
                      <w:szCs w:val="20"/>
                    </w:rPr>
                  </w:pPr>
                  <w:r w:rsidRPr="009E0336">
                    <w:rPr>
                      <w:b/>
                      <w:bCs/>
                      <w:color w:val="000000"/>
                      <w:sz w:val="20"/>
                      <w:szCs w:val="20"/>
                    </w:rPr>
                    <w:t>Financijski plan 2024.</w:t>
                  </w:r>
                </w:p>
              </w:tc>
              <w:tc>
                <w:tcPr>
                  <w:tcW w:w="1568"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9C265F5" w14:textId="56FF0FBB" w:rsidR="002113AC" w:rsidRPr="009E0336" w:rsidRDefault="002113AC" w:rsidP="002113AC">
                  <w:pPr>
                    <w:pStyle w:val="Standard"/>
                    <w:spacing w:line="276" w:lineRule="auto"/>
                    <w:jc w:val="center"/>
                    <w:rPr>
                      <w:sz w:val="20"/>
                      <w:szCs w:val="20"/>
                    </w:rPr>
                  </w:pPr>
                  <w:r w:rsidRPr="009E0336">
                    <w:rPr>
                      <w:b/>
                      <w:bCs/>
                      <w:color w:val="000000"/>
                      <w:sz w:val="20"/>
                      <w:szCs w:val="20"/>
                    </w:rPr>
                    <w:t>I. Rebalans 2024.</w:t>
                  </w:r>
                </w:p>
              </w:tc>
              <w:tc>
                <w:tcPr>
                  <w:tcW w:w="1559"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1CE0C93" w14:textId="7B22F838" w:rsidR="002113AC" w:rsidRPr="009E0336" w:rsidRDefault="002113AC" w:rsidP="002113AC">
                  <w:pPr>
                    <w:pStyle w:val="Standard"/>
                    <w:spacing w:line="276" w:lineRule="auto"/>
                    <w:jc w:val="center"/>
                    <w:rPr>
                      <w:sz w:val="20"/>
                      <w:szCs w:val="20"/>
                    </w:rPr>
                  </w:pPr>
                  <w:r w:rsidRPr="009E0336">
                    <w:rPr>
                      <w:b/>
                      <w:bCs/>
                      <w:color w:val="000000"/>
                      <w:sz w:val="20"/>
                      <w:szCs w:val="20"/>
                    </w:rPr>
                    <w:t>Plan 2025.</w:t>
                  </w:r>
                </w:p>
              </w:tc>
              <w:tc>
                <w:tcPr>
                  <w:tcW w:w="1554"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8C50917" w14:textId="25C4BE9D" w:rsidR="002113AC" w:rsidRPr="009E0336" w:rsidRDefault="002113AC" w:rsidP="002113AC">
                  <w:pPr>
                    <w:pStyle w:val="Standard"/>
                    <w:spacing w:line="276" w:lineRule="auto"/>
                    <w:jc w:val="center"/>
                    <w:rPr>
                      <w:sz w:val="20"/>
                      <w:szCs w:val="20"/>
                    </w:rPr>
                  </w:pPr>
                  <w:r w:rsidRPr="009E0336">
                    <w:rPr>
                      <w:b/>
                      <w:bCs/>
                      <w:color w:val="000000"/>
                      <w:sz w:val="20"/>
                      <w:szCs w:val="20"/>
                    </w:rPr>
                    <w:t>Projekcija 2026.</w:t>
                  </w:r>
                </w:p>
              </w:tc>
              <w:tc>
                <w:tcPr>
                  <w:tcW w:w="1423"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19FA9F36" w14:textId="01DB50CF" w:rsidR="002113AC" w:rsidRPr="009E0336" w:rsidRDefault="002113AC" w:rsidP="002113AC">
                  <w:pPr>
                    <w:pStyle w:val="Standard"/>
                    <w:spacing w:line="276" w:lineRule="auto"/>
                    <w:jc w:val="center"/>
                    <w:rPr>
                      <w:sz w:val="20"/>
                      <w:szCs w:val="20"/>
                    </w:rPr>
                  </w:pPr>
                  <w:r w:rsidRPr="009E0336">
                    <w:rPr>
                      <w:b/>
                      <w:bCs/>
                      <w:color w:val="000000"/>
                      <w:sz w:val="20"/>
                      <w:szCs w:val="20"/>
                    </w:rPr>
                    <w:t>Projekcija 2027.</w:t>
                  </w:r>
                </w:p>
              </w:tc>
            </w:tr>
            <w:tr w:rsidR="002113AC" w:rsidRPr="009E0336" w14:paraId="072C8076" w14:textId="77777777" w:rsidTr="00702A1E">
              <w:trPr>
                <w:trHeight w:val="219"/>
              </w:trPr>
              <w:tc>
                <w:tcPr>
                  <w:tcW w:w="17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F248FC" w14:textId="43792556" w:rsidR="002113AC" w:rsidRPr="009E0336" w:rsidRDefault="00CF143A" w:rsidP="002113AC">
                  <w:pPr>
                    <w:pStyle w:val="Standard"/>
                    <w:spacing w:line="276" w:lineRule="auto"/>
                    <w:jc w:val="right"/>
                    <w:rPr>
                      <w:b/>
                      <w:bCs/>
                      <w:sz w:val="20"/>
                      <w:szCs w:val="20"/>
                    </w:rPr>
                  </w:pPr>
                  <w:r w:rsidRPr="009E0336">
                    <w:rPr>
                      <w:b/>
                      <w:bCs/>
                      <w:sz w:val="20"/>
                      <w:szCs w:val="20"/>
                    </w:rPr>
                    <w:t>1.904.873,54</w:t>
                  </w:r>
                  <w:r w:rsidR="002113AC" w:rsidRPr="009E0336">
                    <w:rPr>
                      <w:b/>
                      <w:bCs/>
                      <w:sz w:val="20"/>
                      <w:szCs w:val="20"/>
                    </w:rPr>
                    <w:t xml:space="preserve"> €</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E6B3ED" w14:textId="205E6521" w:rsidR="002113AC" w:rsidRPr="009E0336" w:rsidRDefault="00704F6C" w:rsidP="002113AC">
                  <w:pPr>
                    <w:pStyle w:val="Standard"/>
                    <w:spacing w:line="276" w:lineRule="auto"/>
                    <w:jc w:val="right"/>
                    <w:rPr>
                      <w:b/>
                      <w:bCs/>
                      <w:sz w:val="20"/>
                      <w:szCs w:val="20"/>
                    </w:rPr>
                  </w:pPr>
                  <w:r w:rsidRPr="009E0336">
                    <w:rPr>
                      <w:b/>
                      <w:bCs/>
                      <w:sz w:val="20"/>
                      <w:szCs w:val="20"/>
                    </w:rPr>
                    <w:t>2.217.900,00 €</w:t>
                  </w:r>
                </w:p>
              </w:tc>
              <w:tc>
                <w:tcPr>
                  <w:tcW w:w="15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9176C5" w14:textId="206E06E7" w:rsidR="002113AC" w:rsidRPr="009E0336" w:rsidRDefault="00704F6C" w:rsidP="002113AC">
                  <w:pPr>
                    <w:pStyle w:val="Standard"/>
                    <w:spacing w:line="276" w:lineRule="auto"/>
                    <w:jc w:val="right"/>
                    <w:rPr>
                      <w:b/>
                      <w:bCs/>
                      <w:sz w:val="20"/>
                      <w:szCs w:val="20"/>
                    </w:rPr>
                  </w:pPr>
                  <w:r w:rsidRPr="009E0336">
                    <w:rPr>
                      <w:b/>
                      <w:bCs/>
                      <w:sz w:val="20"/>
                      <w:szCs w:val="20"/>
                    </w:rPr>
                    <w:t>3.232.763,94 €</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863E15" w14:textId="1CDBBBA8" w:rsidR="002113AC" w:rsidRPr="009E0336" w:rsidRDefault="004A20AD" w:rsidP="002113AC">
                  <w:pPr>
                    <w:pStyle w:val="Standard"/>
                    <w:spacing w:line="276" w:lineRule="auto"/>
                    <w:jc w:val="right"/>
                    <w:rPr>
                      <w:b/>
                      <w:bCs/>
                      <w:sz w:val="20"/>
                      <w:szCs w:val="20"/>
                    </w:rPr>
                  </w:pPr>
                  <w:r w:rsidRPr="009E0336">
                    <w:rPr>
                      <w:b/>
                      <w:bCs/>
                      <w:sz w:val="20"/>
                      <w:szCs w:val="20"/>
                    </w:rPr>
                    <w:t>3.141.000,00 €</w:t>
                  </w:r>
                </w:p>
              </w:tc>
              <w:tc>
                <w:tcPr>
                  <w:tcW w:w="15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086F4A" w14:textId="6844D15A" w:rsidR="002113AC" w:rsidRPr="009E0336" w:rsidRDefault="004A20AD" w:rsidP="002113AC">
                  <w:pPr>
                    <w:pStyle w:val="Standard"/>
                    <w:spacing w:line="276" w:lineRule="auto"/>
                    <w:jc w:val="right"/>
                    <w:rPr>
                      <w:b/>
                      <w:bCs/>
                      <w:sz w:val="20"/>
                      <w:szCs w:val="20"/>
                    </w:rPr>
                  </w:pPr>
                  <w:r w:rsidRPr="009E0336">
                    <w:rPr>
                      <w:b/>
                      <w:bCs/>
                      <w:sz w:val="20"/>
                      <w:szCs w:val="20"/>
                    </w:rPr>
                    <w:t>3.499.000,00 €</w:t>
                  </w:r>
                </w:p>
              </w:tc>
              <w:tc>
                <w:tcPr>
                  <w:tcW w:w="14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A2448C" w14:textId="03FDEEE4" w:rsidR="002113AC" w:rsidRPr="009E0336" w:rsidRDefault="004A20AD" w:rsidP="002113AC">
                  <w:pPr>
                    <w:pStyle w:val="Standard"/>
                    <w:spacing w:line="276" w:lineRule="auto"/>
                    <w:jc w:val="right"/>
                    <w:rPr>
                      <w:b/>
                      <w:bCs/>
                      <w:sz w:val="20"/>
                      <w:szCs w:val="20"/>
                    </w:rPr>
                  </w:pPr>
                  <w:r w:rsidRPr="009E0336">
                    <w:rPr>
                      <w:b/>
                      <w:bCs/>
                      <w:sz w:val="20"/>
                      <w:szCs w:val="20"/>
                    </w:rPr>
                    <w:t>3.467.000,00 €</w:t>
                  </w:r>
                </w:p>
              </w:tc>
            </w:tr>
          </w:tbl>
          <w:p w14:paraId="5148DAED" w14:textId="77777777" w:rsidR="00FA6BF1" w:rsidRPr="009E0336" w:rsidRDefault="00FA6BF1">
            <w:pPr>
              <w:pStyle w:val="Standard"/>
              <w:spacing w:line="276" w:lineRule="auto"/>
              <w:rPr>
                <w:bCs/>
                <w:color w:val="000000"/>
                <w:sz w:val="20"/>
                <w:szCs w:val="20"/>
                <w:lang w:eastAsia="en-US"/>
              </w:rPr>
            </w:pPr>
          </w:p>
        </w:tc>
      </w:tr>
      <w:tr w:rsidR="00FA6BF1" w:rsidRPr="009E0336" w14:paraId="4CF895D8" w14:textId="77777777" w:rsidTr="00C97AA2">
        <w:trPr>
          <w:trHeight w:val="257"/>
        </w:trPr>
        <w:tc>
          <w:tcPr>
            <w:tcW w:w="123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A56A61E" w14:textId="77777777" w:rsidR="00C97AA2" w:rsidRPr="009E0336" w:rsidRDefault="00C97AA2">
            <w:pPr>
              <w:pStyle w:val="Standard"/>
              <w:spacing w:line="276" w:lineRule="auto"/>
              <w:rPr>
                <w:b/>
                <w:color w:val="000000"/>
                <w:sz w:val="20"/>
                <w:szCs w:val="20"/>
                <w:lang w:eastAsia="en-US"/>
              </w:rPr>
            </w:pPr>
          </w:p>
          <w:p w14:paraId="699648CA" w14:textId="7989AE7E" w:rsidR="00FA6BF1" w:rsidRPr="009E0336" w:rsidRDefault="00091387">
            <w:pPr>
              <w:pStyle w:val="Standard"/>
              <w:spacing w:line="276" w:lineRule="auto"/>
              <w:rPr>
                <w:sz w:val="20"/>
                <w:szCs w:val="20"/>
              </w:rPr>
            </w:pPr>
            <w:r w:rsidRPr="009E0336">
              <w:rPr>
                <w:b/>
                <w:color w:val="000000"/>
                <w:sz w:val="20"/>
                <w:szCs w:val="20"/>
                <w:lang w:eastAsia="en-US"/>
              </w:rPr>
              <w:t>Obrazloženja odstupanja od projekcija za 202</w:t>
            </w:r>
            <w:r w:rsidR="00775E47" w:rsidRPr="009E0336">
              <w:rPr>
                <w:b/>
                <w:color w:val="000000"/>
                <w:sz w:val="20"/>
                <w:szCs w:val="20"/>
                <w:lang w:eastAsia="en-US"/>
              </w:rPr>
              <w:t>5</w:t>
            </w:r>
            <w:r w:rsidRPr="009E0336">
              <w:rPr>
                <w:b/>
                <w:color w:val="000000"/>
                <w:sz w:val="20"/>
                <w:szCs w:val="20"/>
                <w:lang w:eastAsia="en-US"/>
              </w:rPr>
              <w:t>. i 202</w:t>
            </w:r>
            <w:r w:rsidR="00775E47" w:rsidRPr="009E0336">
              <w:rPr>
                <w:b/>
                <w:color w:val="000000"/>
                <w:sz w:val="20"/>
                <w:szCs w:val="20"/>
                <w:lang w:eastAsia="en-US"/>
              </w:rPr>
              <w:t>6</w:t>
            </w:r>
            <w:r w:rsidRPr="009E0336">
              <w:rPr>
                <w:b/>
                <w:color w:val="000000"/>
                <w:sz w:val="20"/>
                <w:szCs w:val="20"/>
                <w:lang w:eastAsia="en-US"/>
              </w:rPr>
              <w:t>. usvojenih u prošlogodišnjem Proračunu</w:t>
            </w:r>
          </w:p>
        </w:tc>
        <w:tc>
          <w:tcPr>
            <w:tcW w:w="816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736365" w14:textId="77777777" w:rsidR="00FA6BF1" w:rsidRPr="009E0336" w:rsidRDefault="00FA6BF1">
            <w:pPr>
              <w:pStyle w:val="Standard"/>
              <w:rPr>
                <w:i/>
                <w:color w:val="FF0000"/>
                <w:sz w:val="20"/>
                <w:szCs w:val="20"/>
              </w:rPr>
            </w:pPr>
          </w:p>
          <w:p w14:paraId="7DB10522" w14:textId="361C8304" w:rsidR="004C4794" w:rsidRPr="009E0336" w:rsidRDefault="00091387" w:rsidP="0074131A">
            <w:pPr>
              <w:pStyle w:val="Standard"/>
              <w:jc w:val="both"/>
              <w:rPr>
                <w:iCs/>
                <w:sz w:val="20"/>
                <w:szCs w:val="20"/>
              </w:rPr>
            </w:pPr>
            <w:r w:rsidRPr="009E0336">
              <w:rPr>
                <w:iCs/>
                <w:sz w:val="20"/>
                <w:szCs w:val="20"/>
              </w:rPr>
              <w:t>U odnosu na prošlogodišnje projekcije ova aktivnost je u 202</w:t>
            </w:r>
            <w:r w:rsidR="004C4794" w:rsidRPr="009E0336">
              <w:rPr>
                <w:iCs/>
                <w:sz w:val="20"/>
                <w:szCs w:val="20"/>
              </w:rPr>
              <w:t>5</w:t>
            </w:r>
            <w:r w:rsidRPr="009E0336">
              <w:rPr>
                <w:iCs/>
                <w:sz w:val="20"/>
                <w:szCs w:val="20"/>
              </w:rPr>
              <w:t xml:space="preserve">.g. </w:t>
            </w:r>
            <w:r w:rsidR="00E60C7B" w:rsidRPr="009E0336">
              <w:rPr>
                <w:iCs/>
                <w:sz w:val="20"/>
                <w:szCs w:val="20"/>
              </w:rPr>
              <w:t xml:space="preserve">veća </w:t>
            </w:r>
            <w:r w:rsidRPr="009E0336">
              <w:rPr>
                <w:iCs/>
                <w:sz w:val="20"/>
                <w:szCs w:val="20"/>
              </w:rPr>
              <w:t xml:space="preserve">za </w:t>
            </w:r>
            <w:r w:rsidR="004C4794" w:rsidRPr="009E0336">
              <w:rPr>
                <w:iCs/>
                <w:sz w:val="20"/>
                <w:szCs w:val="20"/>
              </w:rPr>
              <w:t>61,5</w:t>
            </w:r>
            <w:r w:rsidRPr="009E0336">
              <w:rPr>
                <w:iCs/>
                <w:sz w:val="20"/>
                <w:szCs w:val="20"/>
              </w:rPr>
              <w:t xml:space="preserve"> %, </w:t>
            </w:r>
            <w:r w:rsidR="00E60C7B" w:rsidRPr="009E0336">
              <w:rPr>
                <w:iCs/>
                <w:sz w:val="20"/>
                <w:szCs w:val="20"/>
              </w:rPr>
              <w:t>a u</w:t>
            </w:r>
            <w:r w:rsidRPr="009E0336">
              <w:rPr>
                <w:iCs/>
                <w:sz w:val="20"/>
                <w:szCs w:val="20"/>
              </w:rPr>
              <w:t xml:space="preserve"> 202</w:t>
            </w:r>
            <w:r w:rsidR="004C4794" w:rsidRPr="009E0336">
              <w:rPr>
                <w:iCs/>
                <w:sz w:val="20"/>
                <w:szCs w:val="20"/>
              </w:rPr>
              <w:t>6</w:t>
            </w:r>
            <w:r w:rsidRPr="009E0336">
              <w:rPr>
                <w:iCs/>
                <w:sz w:val="20"/>
                <w:szCs w:val="20"/>
              </w:rPr>
              <w:t xml:space="preserve">.g.  </w:t>
            </w:r>
            <w:r w:rsidR="00E60C7B" w:rsidRPr="009E0336">
              <w:rPr>
                <w:iCs/>
                <w:sz w:val="20"/>
                <w:szCs w:val="20"/>
              </w:rPr>
              <w:t xml:space="preserve">je veća za </w:t>
            </w:r>
            <w:r w:rsidR="004C4794" w:rsidRPr="009E0336">
              <w:rPr>
                <w:iCs/>
                <w:sz w:val="20"/>
                <w:szCs w:val="20"/>
              </w:rPr>
              <w:t>83,29</w:t>
            </w:r>
            <w:r w:rsidR="00E60C7B" w:rsidRPr="009E0336">
              <w:rPr>
                <w:iCs/>
                <w:sz w:val="20"/>
                <w:szCs w:val="20"/>
              </w:rPr>
              <w:t xml:space="preserve"> %.</w:t>
            </w:r>
            <w:r w:rsidRPr="009E0336">
              <w:rPr>
                <w:iCs/>
                <w:sz w:val="20"/>
                <w:szCs w:val="20"/>
              </w:rPr>
              <w:t xml:space="preserve"> Razlog značajnog povećanja u 202</w:t>
            </w:r>
            <w:r w:rsidR="004C4794" w:rsidRPr="009E0336">
              <w:rPr>
                <w:iCs/>
                <w:sz w:val="20"/>
                <w:szCs w:val="20"/>
              </w:rPr>
              <w:t>5</w:t>
            </w:r>
            <w:r w:rsidRPr="009E0336">
              <w:rPr>
                <w:iCs/>
                <w:sz w:val="20"/>
                <w:szCs w:val="20"/>
              </w:rPr>
              <w:t>.g.</w:t>
            </w:r>
            <w:r w:rsidR="004C4794" w:rsidRPr="009E0336">
              <w:rPr>
                <w:iCs/>
                <w:sz w:val="20"/>
                <w:szCs w:val="20"/>
              </w:rPr>
              <w:t xml:space="preserve"> i 2026.g. </w:t>
            </w:r>
            <w:r w:rsidRPr="009E0336">
              <w:rPr>
                <w:iCs/>
                <w:sz w:val="20"/>
                <w:szCs w:val="20"/>
              </w:rPr>
              <w:t xml:space="preserve"> je</w:t>
            </w:r>
            <w:r w:rsidR="003C1D10" w:rsidRPr="009E0336">
              <w:rPr>
                <w:iCs/>
                <w:sz w:val="20"/>
                <w:szCs w:val="20"/>
              </w:rPr>
              <w:t xml:space="preserve"> u </w:t>
            </w:r>
            <w:r w:rsidR="00E60C7B" w:rsidRPr="009E0336">
              <w:rPr>
                <w:iCs/>
                <w:sz w:val="20"/>
                <w:szCs w:val="20"/>
              </w:rPr>
              <w:t>odobrenju</w:t>
            </w:r>
            <w:r w:rsidR="003C1D10" w:rsidRPr="009E0336">
              <w:rPr>
                <w:iCs/>
                <w:sz w:val="20"/>
                <w:szCs w:val="20"/>
              </w:rPr>
              <w:t xml:space="preserve"> </w:t>
            </w:r>
            <w:r w:rsidR="00775E47" w:rsidRPr="009E0336">
              <w:rPr>
                <w:iCs/>
                <w:sz w:val="20"/>
                <w:szCs w:val="20"/>
              </w:rPr>
              <w:t xml:space="preserve">dodatnih </w:t>
            </w:r>
            <w:r w:rsidR="003C1D10" w:rsidRPr="009E0336">
              <w:rPr>
                <w:iCs/>
                <w:sz w:val="20"/>
                <w:szCs w:val="20"/>
              </w:rPr>
              <w:t xml:space="preserve">sredstava  iz Proračuna SDŽ </w:t>
            </w:r>
            <w:r w:rsidR="004C4794" w:rsidRPr="009E0336">
              <w:rPr>
                <w:iCs/>
                <w:sz w:val="20"/>
                <w:szCs w:val="20"/>
              </w:rPr>
              <w:t xml:space="preserve">zbog potrebe usklađenja ispostava Zavoda s novim </w:t>
            </w:r>
            <w:r w:rsidR="004C4794" w:rsidRPr="009E0336">
              <w:rPr>
                <w:rFonts w:eastAsia="Symbol"/>
                <w:sz w:val="20"/>
                <w:szCs w:val="20"/>
                <w:lang w:val="pl-PL"/>
              </w:rPr>
              <w:t>Pravilnikom o standardima i normativima u pogledu prostora, radnika i medicinsko-tehničke opreme za obavljanje djelatnosti hitne medicine i djelatnosti sanitetskog prijevoza</w:t>
            </w:r>
            <w:r w:rsidR="004C4794" w:rsidRPr="009E0336">
              <w:rPr>
                <w:iCs/>
                <w:sz w:val="20"/>
                <w:szCs w:val="20"/>
              </w:rPr>
              <w:t xml:space="preserve"> i novom proširenom Mrežom hitne medicine i sanitetskog prijevoza koji su doneseni krajem 2023.g. i sredinom 2024.g. odnosno nakon </w:t>
            </w:r>
            <w:r w:rsidR="00D756CF" w:rsidRPr="009E0336">
              <w:rPr>
                <w:iCs/>
                <w:sz w:val="20"/>
                <w:szCs w:val="20"/>
              </w:rPr>
              <w:t>izrade</w:t>
            </w:r>
            <w:r w:rsidR="004C4794" w:rsidRPr="009E0336">
              <w:rPr>
                <w:iCs/>
                <w:sz w:val="20"/>
                <w:szCs w:val="20"/>
              </w:rPr>
              <w:t xml:space="preserve"> projekcija za 2025.g. i 2026.g. </w:t>
            </w:r>
          </w:p>
          <w:p w14:paraId="7922F406" w14:textId="77777777" w:rsidR="00FA6BF1" w:rsidRPr="009E0336" w:rsidRDefault="00FA6BF1">
            <w:pPr>
              <w:pStyle w:val="Standard"/>
              <w:rPr>
                <w:bCs/>
                <w:color w:val="000000"/>
                <w:sz w:val="20"/>
                <w:szCs w:val="20"/>
                <w:lang w:eastAsia="en-US"/>
              </w:rPr>
            </w:pPr>
          </w:p>
        </w:tc>
      </w:tr>
    </w:tbl>
    <w:p w14:paraId="5456D717" w14:textId="77777777" w:rsidR="00FA6BF1" w:rsidRPr="009E0336" w:rsidRDefault="00FA6BF1">
      <w:pPr>
        <w:pStyle w:val="Standard"/>
        <w:rPr>
          <w:sz w:val="20"/>
          <w:szCs w:val="20"/>
        </w:rPr>
      </w:pPr>
    </w:p>
    <w:tbl>
      <w:tblPr>
        <w:tblW w:w="9401" w:type="dxa"/>
        <w:tblInd w:w="-108" w:type="dxa"/>
        <w:tblLayout w:type="fixed"/>
        <w:tblCellMar>
          <w:left w:w="10" w:type="dxa"/>
          <w:right w:w="10" w:type="dxa"/>
        </w:tblCellMar>
        <w:tblLook w:val="04A0" w:firstRow="1" w:lastRow="0" w:firstColumn="1" w:lastColumn="0" w:noHBand="0" w:noVBand="1"/>
      </w:tblPr>
      <w:tblGrid>
        <w:gridCol w:w="1245"/>
        <w:gridCol w:w="1050"/>
        <w:gridCol w:w="928"/>
        <w:gridCol w:w="1276"/>
        <w:gridCol w:w="1133"/>
        <w:gridCol w:w="1230"/>
        <w:gridCol w:w="1269"/>
        <w:gridCol w:w="1270"/>
      </w:tblGrid>
      <w:tr w:rsidR="00FA6BF1" w:rsidRPr="009E0336" w14:paraId="7E4F9EA6" w14:textId="77777777">
        <w:trPr>
          <w:trHeight w:val="651"/>
        </w:trPr>
        <w:tc>
          <w:tcPr>
            <w:tcW w:w="124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2866EB0" w14:textId="77777777" w:rsidR="00FA6BF1" w:rsidRPr="009E0336" w:rsidRDefault="00091387">
            <w:pPr>
              <w:pStyle w:val="Standard"/>
              <w:rPr>
                <w:sz w:val="20"/>
                <w:szCs w:val="20"/>
              </w:rPr>
            </w:pPr>
            <w:r w:rsidRPr="009E0336">
              <w:rPr>
                <w:b/>
                <w:sz w:val="20"/>
                <w:szCs w:val="20"/>
              </w:rPr>
              <w:t>Pokazatelj rezultata</w:t>
            </w:r>
          </w:p>
        </w:tc>
        <w:tc>
          <w:tcPr>
            <w:tcW w:w="105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A512DE8" w14:textId="77777777" w:rsidR="00FA6BF1" w:rsidRPr="009E0336" w:rsidRDefault="00091387">
            <w:pPr>
              <w:pStyle w:val="Standard"/>
              <w:jc w:val="center"/>
              <w:rPr>
                <w:sz w:val="20"/>
                <w:szCs w:val="20"/>
              </w:rPr>
            </w:pPr>
            <w:r w:rsidRPr="009E0336">
              <w:rPr>
                <w:b/>
                <w:sz w:val="20"/>
                <w:szCs w:val="20"/>
              </w:rPr>
              <w:t>Definicija</w:t>
            </w:r>
          </w:p>
        </w:tc>
        <w:tc>
          <w:tcPr>
            <w:tcW w:w="92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75ADA33" w14:textId="77777777" w:rsidR="00FA6BF1" w:rsidRPr="009E0336" w:rsidRDefault="00091387">
            <w:pPr>
              <w:pStyle w:val="Standard"/>
              <w:jc w:val="center"/>
              <w:rPr>
                <w:sz w:val="20"/>
                <w:szCs w:val="20"/>
              </w:rPr>
            </w:pPr>
            <w:r w:rsidRPr="009E0336">
              <w:rPr>
                <w:b/>
                <w:sz w:val="20"/>
                <w:szCs w:val="20"/>
              </w:rPr>
              <w:t>Jedinica</w:t>
            </w:r>
          </w:p>
        </w:tc>
        <w:tc>
          <w:tcPr>
            <w:tcW w:w="12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371A3DB" w14:textId="7F903F71" w:rsidR="00FA6BF1" w:rsidRPr="009E0336" w:rsidRDefault="00091387">
            <w:pPr>
              <w:pStyle w:val="Standard"/>
              <w:jc w:val="center"/>
              <w:rPr>
                <w:sz w:val="20"/>
                <w:szCs w:val="20"/>
              </w:rPr>
            </w:pPr>
            <w:r w:rsidRPr="009E0336">
              <w:rPr>
                <w:b/>
                <w:sz w:val="20"/>
                <w:szCs w:val="20"/>
              </w:rPr>
              <w:t>Polazna vrijednost 202</w:t>
            </w:r>
            <w:r w:rsidR="007077C9" w:rsidRPr="009E0336">
              <w:rPr>
                <w:b/>
                <w:sz w:val="20"/>
                <w:szCs w:val="20"/>
              </w:rPr>
              <w:t>4</w:t>
            </w:r>
            <w:r w:rsidRPr="009E0336">
              <w:rPr>
                <w:b/>
                <w:sz w:val="20"/>
                <w:szCs w:val="20"/>
              </w:rPr>
              <w:t>.</w:t>
            </w:r>
          </w:p>
        </w:tc>
        <w:tc>
          <w:tcPr>
            <w:tcW w:w="113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9A7CD6B" w14:textId="77777777" w:rsidR="00FA6BF1" w:rsidRPr="009E0336" w:rsidRDefault="00091387">
            <w:pPr>
              <w:pStyle w:val="Standard"/>
              <w:jc w:val="center"/>
              <w:rPr>
                <w:sz w:val="20"/>
                <w:szCs w:val="20"/>
              </w:rPr>
            </w:pPr>
            <w:r w:rsidRPr="009E0336">
              <w:rPr>
                <w:b/>
                <w:sz w:val="20"/>
                <w:szCs w:val="20"/>
              </w:rPr>
              <w:t>Izvor podataka</w:t>
            </w:r>
          </w:p>
        </w:tc>
        <w:tc>
          <w:tcPr>
            <w:tcW w:w="123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58058F1" w14:textId="0CE7685E" w:rsidR="00FA6BF1" w:rsidRPr="009E0336" w:rsidRDefault="00091387">
            <w:pPr>
              <w:pStyle w:val="Standard"/>
              <w:jc w:val="center"/>
              <w:rPr>
                <w:sz w:val="20"/>
                <w:szCs w:val="20"/>
              </w:rPr>
            </w:pPr>
            <w:r w:rsidRPr="009E0336">
              <w:rPr>
                <w:b/>
                <w:sz w:val="20"/>
                <w:szCs w:val="20"/>
              </w:rPr>
              <w:t>Ciljana vrijednost 202</w:t>
            </w:r>
            <w:r w:rsidR="007077C9" w:rsidRPr="009E0336">
              <w:rPr>
                <w:b/>
                <w:sz w:val="20"/>
                <w:szCs w:val="20"/>
              </w:rPr>
              <w:t>5</w:t>
            </w:r>
            <w:r w:rsidRPr="009E0336">
              <w:rPr>
                <w:b/>
                <w:sz w:val="20"/>
                <w:szCs w:val="20"/>
              </w:rPr>
              <w:t>.</w:t>
            </w:r>
          </w:p>
        </w:tc>
        <w:tc>
          <w:tcPr>
            <w:tcW w:w="1269"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7E0CB93" w14:textId="7D0F313C" w:rsidR="00FA6BF1" w:rsidRPr="009E0336" w:rsidRDefault="00091387">
            <w:pPr>
              <w:pStyle w:val="Standard"/>
              <w:jc w:val="center"/>
              <w:rPr>
                <w:sz w:val="20"/>
                <w:szCs w:val="20"/>
              </w:rPr>
            </w:pPr>
            <w:r w:rsidRPr="009E0336">
              <w:rPr>
                <w:b/>
                <w:sz w:val="20"/>
                <w:szCs w:val="20"/>
              </w:rPr>
              <w:t>Ciljana vrijednost 202</w:t>
            </w:r>
            <w:r w:rsidR="007077C9" w:rsidRPr="009E0336">
              <w:rPr>
                <w:b/>
                <w:sz w:val="20"/>
                <w:szCs w:val="20"/>
              </w:rPr>
              <w:t>6</w:t>
            </w:r>
            <w:r w:rsidRPr="009E0336">
              <w:rPr>
                <w:b/>
                <w:sz w:val="20"/>
                <w:szCs w:val="20"/>
              </w:rPr>
              <w:t>.</w:t>
            </w:r>
          </w:p>
        </w:tc>
        <w:tc>
          <w:tcPr>
            <w:tcW w:w="127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5EE9ED2" w14:textId="2E84DD67" w:rsidR="00FA6BF1" w:rsidRPr="009E0336" w:rsidRDefault="00091387">
            <w:pPr>
              <w:pStyle w:val="Standard"/>
              <w:jc w:val="center"/>
              <w:rPr>
                <w:sz w:val="20"/>
                <w:szCs w:val="20"/>
              </w:rPr>
            </w:pPr>
            <w:r w:rsidRPr="009E0336">
              <w:rPr>
                <w:b/>
                <w:sz w:val="20"/>
                <w:szCs w:val="20"/>
              </w:rPr>
              <w:t>Ciljana vrijednost 202</w:t>
            </w:r>
            <w:r w:rsidR="007077C9" w:rsidRPr="009E0336">
              <w:rPr>
                <w:b/>
                <w:sz w:val="20"/>
                <w:szCs w:val="20"/>
              </w:rPr>
              <w:t>7</w:t>
            </w:r>
            <w:r w:rsidRPr="009E0336">
              <w:rPr>
                <w:b/>
                <w:sz w:val="20"/>
                <w:szCs w:val="20"/>
              </w:rPr>
              <w:t>.</w:t>
            </w:r>
          </w:p>
        </w:tc>
      </w:tr>
      <w:tr w:rsidR="00FA6BF1" w:rsidRPr="009E0336" w14:paraId="103D949A" w14:textId="77777777">
        <w:trPr>
          <w:trHeight w:val="219"/>
        </w:trPr>
        <w:tc>
          <w:tcPr>
            <w:tcW w:w="1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8647A1" w14:textId="0340287D" w:rsidR="00FA6BF1" w:rsidRPr="009E0336" w:rsidRDefault="009E0BAE">
            <w:pPr>
              <w:pStyle w:val="Standard"/>
              <w:rPr>
                <w:sz w:val="20"/>
                <w:szCs w:val="20"/>
              </w:rPr>
            </w:pPr>
            <w:r w:rsidRPr="009E0336">
              <w:rPr>
                <w:sz w:val="20"/>
                <w:szCs w:val="20"/>
              </w:rPr>
              <w:t xml:space="preserve">Kontinuitet u održavanju </w:t>
            </w:r>
            <w:r w:rsidR="00091387" w:rsidRPr="009E0336">
              <w:rPr>
                <w:sz w:val="20"/>
                <w:szCs w:val="20"/>
              </w:rPr>
              <w:t xml:space="preserve"> prosječne starost</w:t>
            </w:r>
            <w:r w:rsidR="00BA0995" w:rsidRPr="009E0336">
              <w:rPr>
                <w:sz w:val="20"/>
                <w:szCs w:val="20"/>
              </w:rPr>
              <w:t xml:space="preserve">i </w:t>
            </w:r>
            <w:r w:rsidR="00091387" w:rsidRPr="009E0336">
              <w:rPr>
                <w:sz w:val="20"/>
                <w:szCs w:val="20"/>
              </w:rPr>
              <w:t>voznog parka</w:t>
            </w:r>
            <w:r w:rsidR="008C70CE" w:rsidRPr="009E0336">
              <w:rPr>
                <w:sz w:val="20"/>
                <w:szCs w:val="20"/>
              </w:rPr>
              <w:t xml:space="preserve"> </w:t>
            </w:r>
            <w:r w:rsidR="007C1645" w:rsidRPr="009E0336">
              <w:rPr>
                <w:sz w:val="20"/>
                <w:szCs w:val="20"/>
              </w:rPr>
              <w:t>Zavoda</w:t>
            </w:r>
          </w:p>
        </w:tc>
        <w:tc>
          <w:tcPr>
            <w:tcW w:w="10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76D91B" w14:textId="08DD889F" w:rsidR="00FA6BF1" w:rsidRPr="009E0336" w:rsidRDefault="009E0BAE">
            <w:pPr>
              <w:pStyle w:val="Standard"/>
              <w:rPr>
                <w:sz w:val="20"/>
                <w:szCs w:val="20"/>
              </w:rPr>
            </w:pPr>
            <w:r w:rsidRPr="009E0336">
              <w:rPr>
                <w:sz w:val="20"/>
                <w:szCs w:val="20"/>
              </w:rPr>
              <w:t xml:space="preserve">Održavanjem </w:t>
            </w:r>
            <w:r w:rsidR="00091387" w:rsidRPr="009E0336">
              <w:rPr>
                <w:sz w:val="20"/>
                <w:szCs w:val="20"/>
              </w:rPr>
              <w:t xml:space="preserve">prosječne starosti voznog parka </w:t>
            </w:r>
            <w:r w:rsidR="008C70CE" w:rsidRPr="009E0336">
              <w:rPr>
                <w:sz w:val="20"/>
                <w:szCs w:val="20"/>
              </w:rPr>
              <w:t xml:space="preserve"> </w:t>
            </w:r>
            <w:r w:rsidR="00091387" w:rsidRPr="009E0336">
              <w:rPr>
                <w:sz w:val="20"/>
                <w:szCs w:val="20"/>
              </w:rPr>
              <w:t>postiže se  brzina i efikasnost u obavljanu  djelatnosti</w:t>
            </w:r>
          </w:p>
        </w:tc>
        <w:tc>
          <w:tcPr>
            <w:tcW w:w="9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73D70D" w14:textId="77777777" w:rsidR="00FA6BF1" w:rsidRPr="009E0336" w:rsidRDefault="00091387">
            <w:pPr>
              <w:pStyle w:val="Standard"/>
              <w:rPr>
                <w:sz w:val="20"/>
                <w:szCs w:val="20"/>
              </w:rPr>
            </w:pPr>
            <w:r w:rsidRPr="009E0336">
              <w:rPr>
                <w:sz w:val="20"/>
                <w:szCs w:val="20"/>
              </w:rPr>
              <w:t>Broj godina</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0DB31E" w14:textId="46FB742C" w:rsidR="00FA6BF1" w:rsidRPr="009E0336" w:rsidRDefault="0043750A">
            <w:pPr>
              <w:pStyle w:val="Standard"/>
              <w:jc w:val="center"/>
              <w:rPr>
                <w:sz w:val="20"/>
                <w:szCs w:val="20"/>
              </w:rPr>
            </w:pPr>
            <w:r w:rsidRPr="009E0336">
              <w:rPr>
                <w:sz w:val="20"/>
                <w:szCs w:val="20"/>
              </w:rPr>
              <w:t>5</w:t>
            </w:r>
          </w:p>
          <w:p w14:paraId="3E9D2B83" w14:textId="77777777" w:rsidR="00FA6BF1" w:rsidRPr="009E0336" w:rsidRDefault="00FA6BF1">
            <w:pPr>
              <w:pStyle w:val="Standard"/>
              <w:jc w:val="center"/>
              <w:rPr>
                <w:sz w:val="20"/>
                <w:szCs w:val="20"/>
                <w:shd w:val="clear" w:color="auto" w:fill="FFFF00"/>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9B2179" w14:textId="441894C9" w:rsidR="00FA6BF1" w:rsidRPr="009E0336" w:rsidRDefault="00091387">
            <w:pPr>
              <w:pStyle w:val="Standard"/>
              <w:jc w:val="center"/>
              <w:rPr>
                <w:sz w:val="20"/>
                <w:szCs w:val="20"/>
              </w:rPr>
            </w:pPr>
            <w:r w:rsidRPr="009E0336">
              <w:rPr>
                <w:sz w:val="20"/>
                <w:szCs w:val="20"/>
              </w:rPr>
              <w:t>Z</w:t>
            </w:r>
            <w:r w:rsidR="00A43490" w:rsidRPr="009E0336">
              <w:rPr>
                <w:sz w:val="20"/>
                <w:szCs w:val="20"/>
              </w:rPr>
              <w:t>avod</w:t>
            </w:r>
          </w:p>
        </w:tc>
        <w:tc>
          <w:tcPr>
            <w:tcW w:w="12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5FF37B" w14:textId="42EEB07A" w:rsidR="00FA6BF1" w:rsidRPr="009E0336" w:rsidRDefault="0043750A">
            <w:pPr>
              <w:pStyle w:val="Standard"/>
              <w:jc w:val="center"/>
              <w:rPr>
                <w:sz w:val="20"/>
                <w:szCs w:val="20"/>
              </w:rPr>
            </w:pPr>
            <w:r w:rsidRPr="009E0336">
              <w:rPr>
                <w:sz w:val="20"/>
                <w:szCs w:val="20"/>
              </w:rPr>
              <w:t>5</w:t>
            </w:r>
          </w:p>
          <w:p w14:paraId="4C0C64F7" w14:textId="77777777" w:rsidR="00FA6BF1" w:rsidRPr="009E0336" w:rsidRDefault="00FA6BF1">
            <w:pPr>
              <w:pStyle w:val="Standard"/>
              <w:jc w:val="center"/>
              <w:rPr>
                <w:sz w:val="20"/>
                <w:szCs w:val="20"/>
                <w:shd w:val="clear" w:color="auto" w:fill="FFFF00"/>
              </w:rPr>
            </w:pPr>
          </w:p>
          <w:p w14:paraId="128A22D0" w14:textId="77777777" w:rsidR="00FA6BF1" w:rsidRPr="009E0336" w:rsidRDefault="00FA6BF1">
            <w:pPr>
              <w:pStyle w:val="Standard"/>
              <w:jc w:val="center"/>
              <w:rPr>
                <w:sz w:val="20"/>
                <w:szCs w:val="20"/>
                <w:shd w:val="clear" w:color="auto" w:fill="FFFF00"/>
              </w:rPr>
            </w:pPr>
          </w:p>
          <w:p w14:paraId="58663930" w14:textId="77777777" w:rsidR="00FA6BF1" w:rsidRPr="009E0336" w:rsidRDefault="00FA6BF1">
            <w:pPr>
              <w:pStyle w:val="Standard"/>
              <w:jc w:val="center"/>
              <w:rPr>
                <w:sz w:val="20"/>
                <w:szCs w:val="20"/>
                <w:shd w:val="clear" w:color="auto" w:fill="FFFF00"/>
              </w:rPr>
            </w:pPr>
          </w:p>
          <w:p w14:paraId="64ACC60B" w14:textId="77777777" w:rsidR="00FA6BF1" w:rsidRPr="009E0336" w:rsidRDefault="00FA6BF1">
            <w:pPr>
              <w:pStyle w:val="Standard"/>
              <w:rPr>
                <w:sz w:val="20"/>
                <w:szCs w:val="20"/>
                <w:shd w:val="clear" w:color="auto" w:fill="FFFF00"/>
              </w:rPr>
            </w:pPr>
          </w:p>
        </w:tc>
        <w:tc>
          <w:tcPr>
            <w:tcW w:w="12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368B82" w14:textId="2811943A" w:rsidR="00FA6BF1" w:rsidRPr="009E0336" w:rsidRDefault="0043750A">
            <w:pPr>
              <w:pStyle w:val="Standard"/>
              <w:jc w:val="center"/>
              <w:rPr>
                <w:sz w:val="20"/>
                <w:szCs w:val="20"/>
              </w:rPr>
            </w:pPr>
            <w:r w:rsidRPr="009E0336">
              <w:rPr>
                <w:sz w:val="20"/>
                <w:szCs w:val="20"/>
              </w:rPr>
              <w:t>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92C933" w14:textId="7CA1FF94" w:rsidR="00FA6BF1" w:rsidRPr="009E0336" w:rsidRDefault="0043750A">
            <w:pPr>
              <w:pStyle w:val="Standard"/>
              <w:jc w:val="center"/>
              <w:rPr>
                <w:sz w:val="20"/>
                <w:szCs w:val="20"/>
              </w:rPr>
            </w:pPr>
            <w:r w:rsidRPr="009E0336">
              <w:rPr>
                <w:sz w:val="20"/>
                <w:szCs w:val="20"/>
              </w:rPr>
              <w:t>5</w:t>
            </w:r>
          </w:p>
        </w:tc>
      </w:tr>
      <w:tr w:rsidR="00FA6BF1" w:rsidRPr="009E0336" w14:paraId="5653F40B" w14:textId="77777777">
        <w:trPr>
          <w:trHeight w:val="219"/>
        </w:trPr>
        <w:tc>
          <w:tcPr>
            <w:tcW w:w="1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7AA127" w14:textId="2807D0B7" w:rsidR="00FA6BF1" w:rsidRPr="009E0336" w:rsidRDefault="00091387">
            <w:pPr>
              <w:pStyle w:val="Standard"/>
              <w:rPr>
                <w:sz w:val="20"/>
                <w:szCs w:val="20"/>
              </w:rPr>
            </w:pPr>
            <w:r w:rsidRPr="009E0336">
              <w:rPr>
                <w:bCs/>
                <w:sz w:val="20"/>
                <w:szCs w:val="20"/>
              </w:rPr>
              <w:t>Kontinuitet u usklađenosti svih ispostava</w:t>
            </w:r>
            <w:r w:rsidR="005D1BB4" w:rsidRPr="009E0336">
              <w:rPr>
                <w:bCs/>
                <w:sz w:val="20"/>
                <w:szCs w:val="20"/>
              </w:rPr>
              <w:t xml:space="preserve"> Zavoda</w:t>
            </w:r>
            <w:r w:rsidRPr="009E0336">
              <w:rPr>
                <w:bCs/>
                <w:sz w:val="20"/>
                <w:szCs w:val="20"/>
              </w:rPr>
              <w:t xml:space="preserve"> sa Mrežom hitne medicine</w:t>
            </w:r>
            <w:r w:rsidR="009B22EA" w:rsidRPr="009E0336">
              <w:rPr>
                <w:bCs/>
                <w:sz w:val="20"/>
                <w:szCs w:val="20"/>
              </w:rPr>
              <w:t xml:space="preserve"> i pravilnikom </w:t>
            </w:r>
            <w:r w:rsidR="009B22EA" w:rsidRPr="009E0336">
              <w:rPr>
                <w:rFonts w:eastAsia="Symbol"/>
                <w:sz w:val="20"/>
                <w:szCs w:val="20"/>
                <w:lang w:val="pl-PL"/>
              </w:rPr>
              <w:t>o standardima i normativima propisanim za obavljanje djelatnosti hitne medicine i djelatnosti sanitetskog prijevoza</w:t>
            </w:r>
          </w:p>
        </w:tc>
        <w:tc>
          <w:tcPr>
            <w:tcW w:w="10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851A66" w14:textId="7F409F8F" w:rsidR="00FA6BF1" w:rsidRPr="009E0336" w:rsidRDefault="00091387">
            <w:pPr>
              <w:pStyle w:val="Standard"/>
              <w:rPr>
                <w:sz w:val="20"/>
                <w:szCs w:val="20"/>
              </w:rPr>
            </w:pPr>
            <w:r w:rsidRPr="009E0336">
              <w:rPr>
                <w:sz w:val="20"/>
                <w:szCs w:val="20"/>
              </w:rPr>
              <w:t>Usklađenjem svih ispostava sa Mrežom hitne medicine</w:t>
            </w:r>
            <w:r w:rsidR="009B22EA" w:rsidRPr="009E0336">
              <w:rPr>
                <w:sz w:val="20"/>
                <w:szCs w:val="20"/>
              </w:rPr>
              <w:t xml:space="preserve"> i Pravilnikom o standardima i normativima </w:t>
            </w:r>
            <w:r w:rsidR="009B22EA" w:rsidRPr="009E0336">
              <w:rPr>
                <w:rFonts w:eastAsia="Symbol"/>
                <w:sz w:val="20"/>
                <w:szCs w:val="20"/>
                <w:lang w:val="pl-PL"/>
              </w:rPr>
              <w:t>u pogledu prostora, radnika i medicinsko-tehničke opreme za obavljanje djelatnosti hitne medicine i djelatnosti sanitetskog prijevoza</w:t>
            </w:r>
            <w:r w:rsidR="00BE6F1D" w:rsidRPr="009E0336">
              <w:rPr>
                <w:sz w:val="20"/>
                <w:szCs w:val="20"/>
              </w:rPr>
              <w:t xml:space="preserve"> </w:t>
            </w:r>
            <w:r w:rsidRPr="009E0336">
              <w:rPr>
                <w:sz w:val="20"/>
                <w:szCs w:val="20"/>
              </w:rPr>
              <w:t>postiže se  jednakost u  kvaliteti pružene zdravstvene usluge na području cijele  županije</w:t>
            </w:r>
          </w:p>
        </w:tc>
        <w:tc>
          <w:tcPr>
            <w:tcW w:w="9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52B4F6" w14:textId="77777777" w:rsidR="00FA6BF1" w:rsidRPr="009E0336" w:rsidRDefault="00091387">
            <w:pPr>
              <w:pStyle w:val="Standard"/>
              <w:rPr>
                <w:sz w:val="20"/>
                <w:szCs w:val="20"/>
              </w:rPr>
            </w:pPr>
            <w:r w:rsidRPr="009E0336">
              <w:rPr>
                <w:sz w:val="20"/>
                <w:szCs w:val="20"/>
              </w:rPr>
              <w:t>Broj ispostava</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F52F97" w14:textId="5CC499A7" w:rsidR="00FA6BF1" w:rsidRPr="009E0336" w:rsidRDefault="0004019E">
            <w:pPr>
              <w:pStyle w:val="Standard"/>
              <w:jc w:val="center"/>
              <w:rPr>
                <w:sz w:val="20"/>
                <w:szCs w:val="20"/>
              </w:rPr>
            </w:pPr>
            <w:r w:rsidRPr="009E0336">
              <w:rPr>
                <w:sz w:val="20"/>
                <w:szCs w:val="20"/>
              </w:rPr>
              <w:t>0</w:t>
            </w:r>
          </w:p>
          <w:p w14:paraId="4D2F6EC0" w14:textId="77777777" w:rsidR="00FA6BF1" w:rsidRPr="009E0336" w:rsidRDefault="00FA6BF1">
            <w:pPr>
              <w:pStyle w:val="Standard"/>
              <w:jc w:val="center"/>
              <w:rPr>
                <w:sz w:val="20"/>
                <w:szCs w:val="20"/>
              </w:rPr>
            </w:pPr>
          </w:p>
          <w:p w14:paraId="2FB88CC0" w14:textId="77777777" w:rsidR="00FA6BF1" w:rsidRPr="009E0336" w:rsidRDefault="00FA6BF1">
            <w:pPr>
              <w:pStyle w:val="Standard"/>
              <w:jc w:val="center"/>
              <w:rPr>
                <w:sz w:val="20"/>
                <w:szCs w:val="20"/>
              </w:rPr>
            </w:pPr>
          </w:p>
          <w:p w14:paraId="55FC62C9" w14:textId="77777777" w:rsidR="00FA6BF1" w:rsidRPr="009E0336" w:rsidRDefault="00FA6BF1">
            <w:pPr>
              <w:pStyle w:val="Standard"/>
              <w:jc w:val="center"/>
              <w:rPr>
                <w:sz w:val="20"/>
                <w:szCs w:val="20"/>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66AC55" w14:textId="3A229485" w:rsidR="00FA6BF1" w:rsidRPr="009E0336" w:rsidRDefault="00091387">
            <w:pPr>
              <w:pStyle w:val="Standard"/>
              <w:jc w:val="center"/>
              <w:rPr>
                <w:sz w:val="20"/>
                <w:szCs w:val="20"/>
              </w:rPr>
            </w:pPr>
            <w:r w:rsidRPr="009E0336">
              <w:rPr>
                <w:sz w:val="20"/>
                <w:szCs w:val="20"/>
              </w:rPr>
              <w:t>Z</w:t>
            </w:r>
            <w:r w:rsidR="00A43490" w:rsidRPr="009E0336">
              <w:rPr>
                <w:sz w:val="20"/>
                <w:szCs w:val="20"/>
              </w:rPr>
              <w:t>avod</w:t>
            </w:r>
          </w:p>
          <w:p w14:paraId="53EE279F" w14:textId="77777777" w:rsidR="00FA6BF1" w:rsidRPr="009E0336" w:rsidRDefault="00FA6BF1">
            <w:pPr>
              <w:pStyle w:val="Standard"/>
              <w:jc w:val="center"/>
              <w:rPr>
                <w:sz w:val="20"/>
                <w:szCs w:val="20"/>
              </w:rPr>
            </w:pPr>
          </w:p>
          <w:p w14:paraId="7272EA6E" w14:textId="77777777" w:rsidR="00FA6BF1" w:rsidRPr="009E0336" w:rsidRDefault="00FA6BF1">
            <w:pPr>
              <w:pStyle w:val="Standard"/>
              <w:jc w:val="center"/>
              <w:rPr>
                <w:sz w:val="20"/>
                <w:szCs w:val="20"/>
              </w:rPr>
            </w:pPr>
          </w:p>
          <w:p w14:paraId="3D987ED7" w14:textId="77777777" w:rsidR="00FA6BF1" w:rsidRPr="009E0336" w:rsidRDefault="00FA6BF1">
            <w:pPr>
              <w:pStyle w:val="Standard"/>
              <w:jc w:val="center"/>
              <w:rPr>
                <w:sz w:val="20"/>
                <w:szCs w:val="20"/>
              </w:rPr>
            </w:pPr>
          </w:p>
        </w:tc>
        <w:tc>
          <w:tcPr>
            <w:tcW w:w="12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46C1C5" w14:textId="31715DA5" w:rsidR="00FA6BF1" w:rsidRPr="009E0336" w:rsidRDefault="00E92615">
            <w:pPr>
              <w:pStyle w:val="Standard"/>
              <w:jc w:val="center"/>
              <w:rPr>
                <w:sz w:val="20"/>
                <w:szCs w:val="20"/>
              </w:rPr>
            </w:pPr>
            <w:r w:rsidRPr="009E0336">
              <w:rPr>
                <w:sz w:val="20"/>
                <w:szCs w:val="20"/>
              </w:rPr>
              <w:t>4</w:t>
            </w:r>
          </w:p>
        </w:tc>
        <w:tc>
          <w:tcPr>
            <w:tcW w:w="12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8456DE" w14:textId="02868248" w:rsidR="00FA6BF1" w:rsidRPr="009E0336" w:rsidRDefault="00E92615">
            <w:pPr>
              <w:pStyle w:val="Standard"/>
              <w:jc w:val="center"/>
              <w:rPr>
                <w:sz w:val="20"/>
                <w:szCs w:val="20"/>
              </w:rPr>
            </w:pPr>
            <w:r w:rsidRPr="009E0336">
              <w:rPr>
                <w:sz w:val="20"/>
                <w:szCs w:val="20"/>
              </w:rPr>
              <w:t>8</w:t>
            </w:r>
          </w:p>
        </w:tc>
        <w:tc>
          <w:tcPr>
            <w:tcW w:w="12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05543F" w14:textId="56FC39F8" w:rsidR="00FA6BF1" w:rsidRPr="009E0336" w:rsidRDefault="00E92615">
            <w:pPr>
              <w:pStyle w:val="Standard"/>
              <w:jc w:val="center"/>
              <w:rPr>
                <w:sz w:val="20"/>
                <w:szCs w:val="20"/>
              </w:rPr>
            </w:pPr>
            <w:r w:rsidRPr="009E0336">
              <w:rPr>
                <w:sz w:val="20"/>
                <w:szCs w:val="20"/>
              </w:rPr>
              <w:t>12</w:t>
            </w:r>
          </w:p>
          <w:p w14:paraId="4A7DC74F" w14:textId="77777777" w:rsidR="00FA6BF1" w:rsidRPr="009E0336" w:rsidRDefault="00FA6BF1">
            <w:pPr>
              <w:pStyle w:val="Standard"/>
              <w:jc w:val="center"/>
              <w:rPr>
                <w:sz w:val="20"/>
                <w:szCs w:val="20"/>
              </w:rPr>
            </w:pPr>
          </w:p>
        </w:tc>
      </w:tr>
    </w:tbl>
    <w:p w14:paraId="6176ECA4" w14:textId="77777777" w:rsidR="007C6F2E" w:rsidRPr="009E0336" w:rsidRDefault="007C6F2E">
      <w:pPr>
        <w:pStyle w:val="Standard"/>
        <w:rPr>
          <w:sz w:val="20"/>
          <w:szCs w:val="20"/>
        </w:rPr>
      </w:pPr>
    </w:p>
    <w:tbl>
      <w:tblPr>
        <w:tblW w:w="9456" w:type="dxa"/>
        <w:tblInd w:w="-108" w:type="dxa"/>
        <w:tblLayout w:type="fixed"/>
        <w:tblCellMar>
          <w:left w:w="10" w:type="dxa"/>
          <w:right w:w="10" w:type="dxa"/>
        </w:tblCellMar>
        <w:tblLook w:val="04A0" w:firstRow="1" w:lastRow="0" w:firstColumn="1" w:lastColumn="0" w:noHBand="0" w:noVBand="1"/>
      </w:tblPr>
      <w:tblGrid>
        <w:gridCol w:w="1169"/>
        <w:gridCol w:w="69"/>
        <w:gridCol w:w="1842"/>
        <w:gridCol w:w="709"/>
        <w:gridCol w:w="992"/>
        <w:gridCol w:w="1134"/>
        <w:gridCol w:w="1134"/>
        <w:gridCol w:w="142"/>
        <w:gridCol w:w="1134"/>
        <w:gridCol w:w="1131"/>
      </w:tblGrid>
      <w:tr w:rsidR="00FA6BF1" w:rsidRPr="009E0336" w14:paraId="6CF790A7" w14:textId="77777777" w:rsidTr="00702A1E">
        <w:trPr>
          <w:trHeight w:val="517"/>
        </w:trPr>
        <w:tc>
          <w:tcPr>
            <w:tcW w:w="1169"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343A119" w14:textId="77777777" w:rsidR="00FA6BF1" w:rsidRPr="009E0336" w:rsidRDefault="00091387">
            <w:pPr>
              <w:widowControl/>
              <w:spacing w:after="0" w:line="240" w:lineRule="auto"/>
              <w:textAlignment w:val="baseline"/>
              <w:rPr>
                <w:rFonts w:ascii="Times New Roman" w:hAnsi="Times New Roman" w:cs="Times New Roman"/>
                <w:sz w:val="20"/>
                <w:szCs w:val="20"/>
              </w:rPr>
            </w:pPr>
            <w:r w:rsidRPr="009E0336">
              <w:rPr>
                <w:rFonts w:ascii="Times New Roman" w:eastAsia="Times New Roman" w:hAnsi="Times New Roman" w:cs="Times New Roman"/>
                <w:b/>
                <w:bCs/>
                <w:color w:val="000000"/>
                <w:sz w:val="20"/>
                <w:szCs w:val="20"/>
                <w:lang w:eastAsia="hr-HR"/>
              </w:rPr>
              <w:t>Aktivnost/ Projekt:</w:t>
            </w:r>
          </w:p>
        </w:tc>
        <w:tc>
          <w:tcPr>
            <w:tcW w:w="191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F57303" w14:textId="59877453" w:rsidR="00FA6BF1" w:rsidRPr="009E0336" w:rsidRDefault="00091387" w:rsidP="00702A1E">
            <w:pPr>
              <w:widowControl/>
              <w:spacing w:after="0" w:line="240" w:lineRule="auto"/>
              <w:textAlignment w:val="baseline"/>
              <w:rPr>
                <w:rFonts w:ascii="Times New Roman" w:eastAsia="Times New Roman" w:hAnsi="Times New Roman" w:cs="Times New Roman"/>
                <w:b/>
                <w:bCs/>
                <w:sz w:val="20"/>
                <w:szCs w:val="20"/>
                <w:lang w:eastAsia="hr-HR"/>
              </w:rPr>
            </w:pPr>
            <w:r w:rsidRPr="009E0336">
              <w:rPr>
                <w:rFonts w:ascii="Times New Roman" w:eastAsia="Times New Roman" w:hAnsi="Times New Roman" w:cs="Times New Roman"/>
                <w:b/>
                <w:bCs/>
                <w:sz w:val="20"/>
                <w:szCs w:val="20"/>
                <w:lang w:eastAsia="hr-HR"/>
              </w:rPr>
              <w:t>A003020A302007</w:t>
            </w:r>
          </w:p>
        </w:tc>
        <w:tc>
          <w:tcPr>
            <w:tcW w:w="6376"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49F98D" w14:textId="77777777" w:rsidR="00FA6BF1" w:rsidRPr="009E0336" w:rsidRDefault="00091387">
            <w:pPr>
              <w:widowControl/>
              <w:spacing w:after="0" w:line="240" w:lineRule="auto"/>
              <w:textAlignment w:val="baseline"/>
              <w:rPr>
                <w:rFonts w:ascii="Times New Roman" w:eastAsia="Times New Roman" w:hAnsi="Times New Roman" w:cs="Times New Roman"/>
                <w:b/>
                <w:bCs/>
                <w:sz w:val="20"/>
                <w:szCs w:val="20"/>
                <w:lang w:eastAsia="hr-HR"/>
              </w:rPr>
            </w:pPr>
            <w:r w:rsidRPr="009E0336">
              <w:rPr>
                <w:rFonts w:ascii="Times New Roman" w:eastAsia="Times New Roman" w:hAnsi="Times New Roman" w:cs="Times New Roman"/>
                <w:b/>
                <w:bCs/>
                <w:sz w:val="20"/>
                <w:szCs w:val="20"/>
                <w:lang w:eastAsia="hr-HR"/>
              </w:rPr>
              <w:t>Dodatni timovi u turističkoj sezoni</w:t>
            </w:r>
          </w:p>
        </w:tc>
      </w:tr>
      <w:tr w:rsidR="0074131A" w:rsidRPr="009E0336" w14:paraId="5AFAE7D7" w14:textId="77777777" w:rsidTr="00702A1E">
        <w:trPr>
          <w:trHeight w:val="517"/>
        </w:trPr>
        <w:tc>
          <w:tcPr>
            <w:tcW w:w="1169"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0754F60" w14:textId="77777777" w:rsidR="0074131A" w:rsidRPr="009E0336" w:rsidRDefault="0074131A" w:rsidP="0074131A">
            <w:pPr>
              <w:widowControl/>
              <w:spacing w:after="0" w:line="240" w:lineRule="auto"/>
              <w:textAlignment w:val="baseline"/>
              <w:rPr>
                <w:rFonts w:ascii="Times New Roman" w:hAnsi="Times New Roman" w:cs="Times New Roman"/>
                <w:sz w:val="20"/>
                <w:szCs w:val="20"/>
              </w:rPr>
            </w:pPr>
            <w:r w:rsidRPr="009E0336">
              <w:rPr>
                <w:rFonts w:ascii="Times New Roman" w:eastAsia="Times New Roman" w:hAnsi="Times New Roman" w:cs="Times New Roman"/>
                <w:b/>
                <w:bCs/>
                <w:color w:val="000000"/>
                <w:sz w:val="20"/>
                <w:szCs w:val="20"/>
                <w:lang w:eastAsia="hr-HR"/>
              </w:rPr>
              <w:t>Zakonska i druga pravna osnova:</w:t>
            </w:r>
          </w:p>
        </w:tc>
        <w:tc>
          <w:tcPr>
            <w:tcW w:w="8287" w:type="dxa"/>
            <w:gridSpan w:val="9"/>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15B34A" w14:textId="167DE0C3" w:rsidR="0074131A" w:rsidRPr="009E0336" w:rsidRDefault="0074131A" w:rsidP="00C97AA2">
            <w:pPr>
              <w:pStyle w:val="Standard"/>
              <w:jc w:val="both"/>
              <w:rPr>
                <w:sz w:val="20"/>
                <w:szCs w:val="20"/>
              </w:rPr>
            </w:pPr>
            <w:r w:rsidRPr="009E0336">
              <w:rPr>
                <w:rFonts w:eastAsia="Symbol"/>
                <w:sz w:val="20"/>
                <w:szCs w:val="20"/>
                <w:lang w:val="pl-PL"/>
              </w:rPr>
              <w:t xml:space="preserve">Zakon o zdravstvenoj zaštiti, Zakon o obveznom zdravstvenom osiguranju, Kolektivni ugovor za djelatnost zdravstva i zdravstvenog osiguranja, Ugovor s HZZO-om, Sporazumi o sufinanciranju s jedinicama lokalne samouprave, </w:t>
            </w:r>
            <w:r w:rsidRPr="009E0336">
              <w:rPr>
                <w:sz w:val="20"/>
                <w:szCs w:val="20"/>
              </w:rPr>
              <w:t>Upute za izradu Proračuna Splitsko-dalmatinske županije za razdoblje 202</w:t>
            </w:r>
            <w:r w:rsidR="00D756CF" w:rsidRPr="009E0336">
              <w:rPr>
                <w:sz w:val="20"/>
                <w:szCs w:val="20"/>
              </w:rPr>
              <w:t>5</w:t>
            </w:r>
            <w:r w:rsidRPr="009E0336">
              <w:rPr>
                <w:sz w:val="20"/>
                <w:szCs w:val="20"/>
              </w:rPr>
              <w:t>.g.-202</w:t>
            </w:r>
            <w:r w:rsidR="00D756CF" w:rsidRPr="009E0336">
              <w:rPr>
                <w:sz w:val="20"/>
                <w:szCs w:val="20"/>
              </w:rPr>
              <w:t>7</w:t>
            </w:r>
            <w:r w:rsidRPr="009E0336">
              <w:rPr>
                <w:sz w:val="20"/>
                <w:szCs w:val="20"/>
              </w:rPr>
              <w:t>.g.</w:t>
            </w:r>
          </w:p>
          <w:p w14:paraId="5F7307B1" w14:textId="3D367656" w:rsidR="0074131A" w:rsidRPr="009E0336" w:rsidRDefault="0074131A" w:rsidP="00C97AA2">
            <w:pPr>
              <w:widowControl/>
              <w:spacing w:after="0" w:line="240" w:lineRule="auto"/>
              <w:jc w:val="both"/>
              <w:rPr>
                <w:rFonts w:ascii="Times New Roman" w:hAnsi="Times New Roman" w:cs="Times New Roman"/>
                <w:sz w:val="20"/>
                <w:szCs w:val="20"/>
              </w:rPr>
            </w:pPr>
          </w:p>
        </w:tc>
      </w:tr>
      <w:tr w:rsidR="0074131A" w:rsidRPr="009E0336" w14:paraId="77734197" w14:textId="77777777" w:rsidTr="00702A1E">
        <w:trPr>
          <w:trHeight w:val="257"/>
        </w:trPr>
        <w:tc>
          <w:tcPr>
            <w:tcW w:w="1169"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69D1B70" w14:textId="77777777" w:rsidR="0074131A" w:rsidRPr="009E0336" w:rsidRDefault="0074131A" w:rsidP="0074131A">
            <w:pPr>
              <w:widowControl/>
              <w:spacing w:after="0" w:line="240" w:lineRule="auto"/>
              <w:textAlignment w:val="baseline"/>
              <w:rPr>
                <w:rFonts w:ascii="Times New Roman" w:hAnsi="Times New Roman" w:cs="Times New Roman"/>
                <w:sz w:val="20"/>
                <w:szCs w:val="20"/>
              </w:rPr>
            </w:pPr>
            <w:r w:rsidRPr="009E0336">
              <w:rPr>
                <w:rFonts w:ascii="Times New Roman" w:eastAsia="Times New Roman" w:hAnsi="Times New Roman" w:cs="Times New Roman"/>
                <w:b/>
                <w:bCs/>
                <w:color w:val="000000"/>
                <w:sz w:val="20"/>
                <w:szCs w:val="20"/>
                <w:lang w:eastAsia="hr-HR"/>
              </w:rPr>
              <w:t>Opis aktivnosti / projekta</w:t>
            </w:r>
          </w:p>
        </w:tc>
        <w:tc>
          <w:tcPr>
            <w:tcW w:w="8287" w:type="dxa"/>
            <w:gridSpan w:val="9"/>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328CF4" w14:textId="4489C71C" w:rsidR="0074131A" w:rsidRPr="009E0336" w:rsidRDefault="0074131A" w:rsidP="00C97AA2">
            <w:pPr>
              <w:widowControl/>
              <w:snapToGrid w:val="0"/>
              <w:spacing w:after="0" w:line="240" w:lineRule="auto"/>
              <w:jc w:val="both"/>
              <w:rPr>
                <w:rFonts w:ascii="Times New Roman" w:eastAsia="Times New Roman" w:hAnsi="Times New Roman" w:cs="Times New Roman"/>
                <w:bCs/>
                <w:kern w:val="0"/>
                <w:sz w:val="20"/>
                <w:szCs w:val="20"/>
                <w:lang w:eastAsia="ar-SA"/>
              </w:rPr>
            </w:pPr>
            <w:r w:rsidRPr="009E0336">
              <w:rPr>
                <w:rFonts w:ascii="Times New Roman" w:eastAsia="Times New Roman" w:hAnsi="Times New Roman" w:cs="Times New Roman"/>
                <w:bCs/>
                <w:kern w:val="0"/>
                <w:sz w:val="20"/>
                <w:szCs w:val="20"/>
                <w:lang w:eastAsia="ar-SA"/>
              </w:rPr>
              <w:t>Za vrijeme turističke sezone na području Splitsko-dalmatinske županije boravi veliki broj domaćih i stranih turista te se zbog znatno povećanog broja korisnika zdravstvene zaštite angažiraju dodatni timovi hitne medicine čime se ostvaruje veća dostupnost i efikasnost hitne medicine.</w:t>
            </w:r>
          </w:p>
          <w:p w14:paraId="12562A62" w14:textId="77777777" w:rsidR="0074131A" w:rsidRPr="009E0336" w:rsidRDefault="0074131A" w:rsidP="00C97AA2">
            <w:pPr>
              <w:widowControl/>
              <w:snapToGrid w:val="0"/>
              <w:spacing w:after="0" w:line="240" w:lineRule="auto"/>
              <w:jc w:val="both"/>
              <w:rPr>
                <w:rFonts w:ascii="Times New Roman" w:eastAsia="Times New Roman" w:hAnsi="Times New Roman" w:cs="Times New Roman"/>
                <w:bCs/>
                <w:kern w:val="0"/>
                <w:sz w:val="20"/>
                <w:szCs w:val="20"/>
                <w:lang w:eastAsia="ar-SA"/>
              </w:rPr>
            </w:pPr>
          </w:p>
          <w:p w14:paraId="0EA4BEDB" w14:textId="77777777" w:rsidR="0074131A" w:rsidRPr="009E0336" w:rsidRDefault="0074131A" w:rsidP="00C97AA2">
            <w:pPr>
              <w:widowControl/>
              <w:snapToGrid w:val="0"/>
              <w:spacing w:after="0" w:line="240" w:lineRule="auto"/>
              <w:jc w:val="both"/>
              <w:rPr>
                <w:rFonts w:ascii="Times New Roman" w:eastAsia="Times New Roman" w:hAnsi="Times New Roman" w:cs="Times New Roman"/>
                <w:bCs/>
                <w:kern w:val="0"/>
                <w:sz w:val="20"/>
                <w:szCs w:val="20"/>
                <w:lang w:eastAsia="ar-SA"/>
              </w:rPr>
            </w:pPr>
            <w:r w:rsidRPr="009E0336">
              <w:rPr>
                <w:rFonts w:ascii="Times New Roman" w:eastAsia="Times New Roman" w:hAnsi="Times New Roman" w:cs="Times New Roman"/>
                <w:bCs/>
                <w:kern w:val="0"/>
                <w:sz w:val="20"/>
                <w:szCs w:val="20"/>
                <w:lang w:eastAsia="ar-SA"/>
              </w:rPr>
              <w:t>Svake godine u turističkim mjestima uvode se dodatni timovi te se svim korisnicima pruža kvalitetna i promptna zdravstvena usluga. Na taj način se čuva zdravlje i spašavaju životi osoba te se ujedno doprinosi stvaranju predodžbe o našoj županiji kao turistički poželjnom odredištu.</w:t>
            </w:r>
          </w:p>
          <w:p w14:paraId="613A9573" w14:textId="77777777" w:rsidR="0074131A" w:rsidRPr="009E0336" w:rsidRDefault="0074131A" w:rsidP="00C97AA2">
            <w:pPr>
              <w:widowControl/>
              <w:snapToGrid w:val="0"/>
              <w:spacing w:after="0" w:line="240" w:lineRule="auto"/>
              <w:jc w:val="both"/>
              <w:rPr>
                <w:rFonts w:ascii="Times New Roman" w:eastAsia="Times New Roman" w:hAnsi="Times New Roman" w:cs="Times New Roman"/>
                <w:bCs/>
                <w:kern w:val="0"/>
                <w:sz w:val="20"/>
                <w:szCs w:val="20"/>
                <w:lang w:eastAsia="ar-SA"/>
              </w:rPr>
            </w:pPr>
          </w:p>
          <w:p w14:paraId="1F8437F8" w14:textId="547529C7" w:rsidR="0074131A" w:rsidRPr="009E0336" w:rsidRDefault="0074131A" w:rsidP="00C97AA2">
            <w:pPr>
              <w:widowControl/>
              <w:spacing w:after="0" w:line="240" w:lineRule="auto"/>
              <w:jc w:val="both"/>
              <w:rPr>
                <w:rFonts w:ascii="Times New Roman" w:eastAsia="Times New Roman" w:hAnsi="Times New Roman" w:cs="Times New Roman"/>
                <w:bCs/>
                <w:kern w:val="0"/>
                <w:sz w:val="20"/>
                <w:szCs w:val="20"/>
                <w:lang w:eastAsia="ar-SA"/>
              </w:rPr>
            </w:pPr>
            <w:r w:rsidRPr="009E0336">
              <w:rPr>
                <w:rFonts w:ascii="Times New Roman" w:eastAsia="Times New Roman" w:hAnsi="Times New Roman" w:cs="Times New Roman"/>
                <w:bCs/>
                <w:kern w:val="0"/>
                <w:sz w:val="20"/>
                <w:szCs w:val="20"/>
                <w:lang w:eastAsia="ar-SA"/>
              </w:rPr>
              <w:t xml:space="preserve">Ova aktivnost, koja obuhvaća </w:t>
            </w:r>
            <w:r w:rsidR="00D756CF" w:rsidRPr="009E0336">
              <w:rPr>
                <w:rFonts w:ascii="Times New Roman" w:eastAsia="Times New Roman" w:hAnsi="Times New Roman" w:cs="Times New Roman"/>
                <w:bCs/>
                <w:kern w:val="0"/>
                <w:sz w:val="20"/>
                <w:szCs w:val="20"/>
                <w:lang w:eastAsia="ar-SA"/>
              </w:rPr>
              <w:t>1,9</w:t>
            </w:r>
            <w:r w:rsidRPr="009E0336">
              <w:rPr>
                <w:rFonts w:ascii="Times New Roman" w:eastAsia="Times New Roman" w:hAnsi="Times New Roman" w:cs="Times New Roman"/>
                <w:bCs/>
                <w:kern w:val="0"/>
                <w:sz w:val="20"/>
                <w:szCs w:val="20"/>
                <w:lang w:eastAsia="ar-SA"/>
              </w:rPr>
              <w:t xml:space="preserve"> % ukupnog plana u 202</w:t>
            </w:r>
            <w:r w:rsidR="00D756CF" w:rsidRPr="009E0336">
              <w:rPr>
                <w:rFonts w:ascii="Times New Roman" w:eastAsia="Times New Roman" w:hAnsi="Times New Roman" w:cs="Times New Roman"/>
                <w:bCs/>
                <w:kern w:val="0"/>
                <w:sz w:val="20"/>
                <w:szCs w:val="20"/>
                <w:lang w:eastAsia="ar-SA"/>
              </w:rPr>
              <w:t>5</w:t>
            </w:r>
            <w:r w:rsidRPr="009E0336">
              <w:rPr>
                <w:rFonts w:ascii="Times New Roman" w:eastAsia="Times New Roman" w:hAnsi="Times New Roman" w:cs="Times New Roman"/>
                <w:bCs/>
                <w:kern w:val="0"/>
                <w:sz w:val="20"/>
                <w:szCs w:val="20"/>
                <w:lang w:eastAsia="ar-SA"/>
              </w:rPr>
              <w:t>.g., sastoji se od rashoda za zaposlene i materijalnih rashoda koji se financiraju iz slijedećih izvora:</w:t>
            </w:r>
          </w:p>
          <w:p w14:paraId="2E63DABE" w14:textId="796774D2" w:rsidR="0074131A" w:rsidRPr="009E0336" w:rsidRDefault="0074131A" w:rsidP="00C97AA2">
            <w:pPr>
              <w:widowControl/>
              <w:numPr>
                <w:ilvl w:val="0"/>
                <w:numId w:val="13"/>
              </w:numPr>
              <w:spacing w:after="0" w:line="240" w:lineRule="auto"/>
              <w:jc w:val="both"/>
              <w:rPr>
                <w:rFonts w:ascii="Times New Roman" w:eastAsia="Times New Roman" w:hAnsi="Times New Roman" w:cs="Times New Roman"/>
                <w:bCs/>
                <w:kern w:val="0"/>
                <w:sz w:val="20"/>
                <w:szCs w:val="20"/>
                <w:lang w:eastAsia="ar-SA"/>
              </w:rPr>
            </w:pPr>
            <w:r w:rsidRPr="009E0336">
              <w:rPr>
                <w:rFonts w:ascii="Times New Roman" w:eastAsia="Times New Roman" w:hAnsi="Times New Roman" w:cs="Times New Roman"/>
                <w:bCs/>
                <w:kern w:val="0"/>
                <w:sz w:val="20"/>
                <w:szCs w:val="20"/>
                <w:lang w:eastAsia="ar-SA"/>
              </w:rPr>
              <w:t xml:space="preserve">matičnih sredstava SDŽ u iznosu od </w:t>
            </w:r>
            <w:r w:rsidR="00530DEF" w:rsidRPr="009E0336">
              <w:rPr>
                <w:rFonts w:ascii="Times New Roman" w:eastAsia="Times New Roman" w:hAnsi="Times New Roman" w:cs="Times New Roman"/>
                <w:bCs/>
                <w:kern w:val="0"/>
                <w:sz w:val="20"/>
                <w:szCs w:val="20"/>
                <w:lang w:eastAsia="ar-SA"/>
              </w:rPr>
              <w:t>10</w:t>
            </w:r>
            <w:r w:rsidR="00D756CF" w:rsidRPr="009E0336">
              <w:rPr>
                <w:rFonts w:ascii="Times New Roman" w:eastAsia="Times New Roman" w:hAnsi="Times New Roman" w:cs="Times New Roman"/>
                <w:bCs/>
                <w:kern w:val="0"/>
                <w:sz w:val="20"/>
                <w:szCs w:val="20"/>
                <w:lang w:eastAsia="ar-SA"/>
              </w:rPr>
              <w:t>5</w:t>
            </w:r>
            <w:r w:rsidR="00530DEF" w:rsidRPr="009E0336">
              <w:rPr>
                <w:rFonts w:ascii="Times New Roman" w:eastAsia="Times New Roman" w:hAnsi="Times New Roman" w:cs="Times New Roman"/>
                <w:bCs/>
                <w:kern w:val="0"/>
                <w:sz w:val="20"/>
                <w:szCs w:val="20"/>
                <w:lang w:eastAsia="ar-SA"/>
              </w:rPr>
              <w:t xml:space="preserve">.000,00 </w:t>
            </w:r>
            <w:r w:rsidRPr="009E0336">
              <w:rPr>
                <w:rFonts w:ascii="Times New Roman" w:eastAsia="Times New Roman" w:hAnsi="Times New Roman" w:cs="Times New Roman"/>
                <w:bCs/>
                <w:kern w:val="0"/>
                <w:sz w:val="20"/>
                <w:szCs w:val="20"/>
                <w:lang w:eastAsia="ar-SA"/>
              </w:rPr>
              <w:t xml:space="preserve">€ (za </w:t>
            </w:r>
            <w:bookmarkStart w:id="1" w:name="__DdeLink__15_682213176"/>
            <w:r w:rsidRPr="009E0336">
              <w:rPr>
                <w:rFonts w:ascii="Times New Roman" w:eastAsia="Times New Roman" w:hAnsi="Times New Roman" w:cs="Times New Roman"/>
                <w:bCs/>
                <w:kern w:val="0"/>
                <w:sz w:val="20"/>
                <w:szCs w:val="20"/>
                <w:lang w:eastAsia="ar-SA"/>
              </w:rPr>
              <w:t>sufinanciranje dodatnih timova HM</w:t>
            </w:r>
            <w:bookmarkEnd w:id="1"/>
            <w:r w:rsidRPr="009E0336">
              <w:rPr>
                <w:rFonts w:ascii="Times New Roman" w:eastAsia="Times New Roman" w:hAnsi="Times New Roman" w:cs="Times New Roman"/>
                <w:bCs/>
                <w:kern w:val="0"/>
                <w:sz w:val="20"/>
                <w:szCs w:val="20"/>
                <w:lang w:eastAsia="ar-SA"/>
              </w:rPr>
              <w:t xml:space="preserve"> na području županije) u </w:t>
            </w:r>
            <w:r w:rsidR="00530DEF" w:rsidRPr="009E0336">
              <w:rPr>
                <w:rFonts w:ascii="Times New Roman" w:eastAsia="Times New Roman" w:hAnsi="Times New Roman" w:cs="Times New Roman"/>
                <w:bCs/>
                <w:kern w:val="0"/>
                <w:sz w:val="20"/>
                <w:szCs w:val="20"/>
                <w:lang w:eastAsia="ar-SA"/>
              </w:rPr>
              <w:t>202</w:t>
            </w:r>
            <w:r w:rsidR="00D756CF" w:rsidRPr="009E0336">
              <w:rPr>
                <w:rFonts w:ascii="Times New Roman" w:eastAsia="Times New Roman" w:hAnsi="Times New Roman" w:cs="Times New Roman"/>
                <w:bCs/>
                <w:kern w:val="0"/>
                <w:sz w:val="20"/>
                <w:szCs w:val="20"/>
                <w:lang w:eastAsia="ar-SA"/>
              </w:rPr>
              <w:t>5</w:t>
            </w:r>
            <w:r w:rsidR="00530DEF" w:rsidRPr="009E0336">
              <w:rPr>
                <w:rFonts w:ascii="Times New Roman" w:eastAsia="Times New Roman" w:hAnsi="Times New Roman" w:cs="Times New Roman"/>
                <w:bCs/>
                <w:kern w:val="0"/>
                <w:sz w:val="20"/>
                <w:szCs w:val="20"/>
                <w:lang w:eastAsia="ar-SA"/>
              </w:rPr>
              <w:t>.g., u iznosu od 1</w:t>
            </w:r>
            <w:r w:rsidR="00D756CF" w:rsidRPr="009E0336">
              <w:rPr>
                <w:rFonts w:ascii="Times New Roman" w:eastAsia="Times New Roman" w:hAnsi="Times New Roman" w:cs="Times New Roman"/>
                <w:bCs/>
                <w:kern w:val="0"/>
                <w:sz w:val="20"/>
                <w:szCs w:val="20"/>
                <w:lang w:eastAsia="ar-SA"/>
              </w:rPr>
              <w:t>10</w:t>
            </w:r>
            <w:r w:rsidR="00530DEF" w:rsidRPr="009E0336">
              <w:rPr>
                <w:rFonts w:ascii="Times New Roman" w:eastAsia="Times New Roman" w:hAnsi="Times New Roman" w:cs="Times New Roman"/>
                <w:bCs/>
                <w:kern w:val="0"/>
                <w:sz w:val="20"/>
                <w:szCs w:val="20"/>
                <w:lang w:eastAsia="ar-SA"/>
              </w:rPr>
              <w:t>.000,00 € u 202</w:t>
            </w:r>
            <w:r w:rsidR="00D756CF" w:rsidRPr="009E0336">
              <w:rPr>
                <w:rFonts w:ascii="Times New Roman" w:eastAsia="Times New Roman" w:hAnsi="Times New Roman" w:cs="Times New Roman"/>
                <w:bCs/>
                <w:kern w:val="0"/>
                <w:sz w:val="20"/>
                <w:szCs w:val="20"/>
                <w:lang w:eastAsia="ar-SA"/>
              </w:rPr>
              <w:t>6</w:t>
            </w:r>
            <w:r w:rsidR="00530DEF" w:rsidRPr="009E0336">
              <w:rPr>
                <w:rFonts w:ascii="Times New Roman" w:eastAsia="Times New Roman" w:hAnsi="Times New Roman" w:cs="Times New Roman"/>
                <w:bCs/>
                <w:kern w:val="0"/>
                <w:sz w:val="20"/>
                <w:szCs w:val="20"/>
                <w:lang w:eastAsia="ar-SA"/>
              </w:rPr>
              <w:t>.g. i u iznosu od 11</w:t>
            </w:r>
            <w:r w:rsidR="00D756CF" w:rsidRPr="009E0336">
              <w:rPr>
                <w:rFonts w:ascii="Times New Roman" w:eastAsia="Times New Roman" w:hAnsi="Times New Roman" w:cs="Times New Roman"/>
                <w:bCs/>
                <w:kern w:val="0"/>
                <w:sz w:val="20"/>
                <w:szCs w:val="20"/>
                <w:lang w:eastAsia="ar-SA"/>
              </w:rPr>
              <w:t>5</w:t>
            </w:r>
            <w:r w:rsidR="00530DEF" w:rsidRPr="009E0336">
              <w:rPr>
                <w:rFonts w:ascii="Times New Roman" w:eastAsia="Times New Roman" w:hAnsi="Times New Roman" w:cs="Times New Roman"/>
                <w:bCs/>
                <w:kern w:val="0"/>
                <w:sz w:val="20"/>
                <w:szCs w:val="20"/>
                <w:lang w:eastAsia="ar-SA"/>
              </w:rPr>
              <w:t>.000,00 € u 202</w:t>
            </w:r>
            <w:r w:rsidR="00D756CF" w:rsidRPr="009E0336">
              <w:rPr>
                <w:rFonts w:ascii="Times New Roman" w:eastAsia="Times New Roman" w:hAnsi="Times New Roman" w:cs="Times New Roman"/>
                <w:bCs/>
                <w:kern w:val="0"/>
                <w:sz w:val="20"/>
                <w:szCs w:val="20"/>
                <w:lang w:eastAsia="ar-SA"/>
              </w:rPr>
              <w:t>7</w:t>
            </w:r>
            <w:r w:rsidR="00530DEF" w:rsidRPr="009E0336">
              <w:rPr>
                <w:rFonts w:ascii="Times New Roman" w:eastAsia="Times New Roman" w:hAnsi="Times New Roman" w:cs="Times New Roman"/>
                <w:bCs/>
                <w:kern w:val="0"/>
                <w:sz w:val="20"/>
                <w:szCs w:val="20"/>
                <w:lang w:eastAsia="ar-SA"/>
              </w:rPr>
              <w:t>.g.</w:t>
            </w:r>
            <w:r w:rsidRPr="009E0336">
              <w:rPr>
                <w:rFonts w:ascii="Times New Roman" w:eastAsia="Times New Roman" w:hAnsi="Times New Roman" w:cs="Times New Roman"/>
                <w:bCs/>
                <w:kern w:val="0"/>
                <w:sz w:val="20"/>
                <w:szCs w:val="20"/>
                <w:lang w:eastAsia="ar-SA"/>
              </w:rPr>
              <w:t>,</w:t>
            </w:r>
          </w:p>
          <w:p w14:paraId="47CB86F6" w14:textId="24322B59" w:rsidR="0074131A" w:rsidRPr="009E0336" w:rsidRDefault="0074131A" w:rsidP="00C97AA2">
            <w:pPr>
              <w:widowControl/>
              <w:numPr>
                <w:ilvl w:val="0"/>
                <w:numId w:val="13"/>
              </w:numPr>
              <w:spacing w:after="0" w:line="240" w:lineRule="auto"/>
              <w:jc w:val="both"/>
              <w:rPr>
                <w:rFonts w:ascii="Times New Roman" w:eastAsia="Times New Roman" w:hAnsi="Times New Roman" w:cs="Times New Roman"/>
                <w:bCs/>
                <w:kern w:val="0"/>
                <w:sz w:val="20"/>
                <w:szCs w:val="20"/>
                <w:lang w:eastAsia="ar-SA"/>
              </w:rPr>
            </w:pPr>
            <w:r w:rsidRPr="009E0336">
              <w:rPr>
                <w:rFonts w:ascii="Times New Roman" w:eastAsia="Times New Roman" w:hAnsi="Times New Roman" w:cs="Times New Roman"/>
                <w:bCs/>
                <w:kern w:val="0"/>
                <w:sz w:val="20"/>
                <w:szCs w:val="20"/>
                <w:lang w:eastAsia="ar-SA"/>
              </w:rPr>
              <w:t xml:space="preserve">prihodi za posebne namjene (prihod od HZZO-a) u iznosu od </w:t>
            </w:r>
            <w:r w:rsidR="00D756CF" w:rsidRPr="009E0336">
              <w:rPr>
                <w:rFonts w:ascii="Times New Roman" w:eastAsia="Times New Roman" w:hAnsi="Times New Roman" w:cs="Times New Roman"/>
                <w:bCs/>
                <w:kern w:val="0"/>
                <w:sz w:val="20"/>
                <w:szCs w:val="20"/>
                <w:lang w:eastAsia="ar-SA"/>
              </w:rPr>
              <w:t>365</w:t>
            </w:r>
            <w:r w:rsidR="00530DEF" w:rsidRPr="009E0336">
              <w:rPr>
                <w:rFonts w:ascii="Times New Roman" w:eastAsia="Times New Roman" w:hAnsi="Times New Roman" w:cs="Times New Roman"/>
                <w:bCs/>
                <w:kern w:val="0"/>
                <w:sz w:val="20"/>
                <w:szCs w:val="20"/>
                <w:lang w:eastAsia="ar-SA"/>
              </w:rPr>
              <w:t>.000,00</w:t>
            </w:r>
            <w:r w:rsidRPr="009E0336">
              <w:rPr>
                <w:rFonts w:ascii="Times New Roman" w:eastAsia="Times New Roman" w:hAnsi="Times New Roman" w:cs="Times New Roman"/>
                <w:bCs/>
                <w:kern w:val="0"/>
                <w:sz w:val="20"/>
                <w:szCs w:val="20"/>
                <w:lang w:eastAsia="ar-SA"/>
              </w:rPr>
              <w:t xml:space="preserve"> € u 202</w:t>
            </w:r>
            <w:r w:rsidR="00D756CF" w:rsidRPr="009E0336">
              <w:rPr>
                <w:rFonts w:ascii="Times New Roman" w:eastAsia="Times New Roman" w:hAnsi="Times New Roman" w:cs="Times New Roman"/>
                <w:bCs/>
                <w:kern w:val="0"/>
                <w:sz w:val="20"/>
                <w:szCs w:val="20"/>
                <w:lang w:eastAsia="ar-SA"/>
              </w:rPr>
              <w:t>5</w:t>
            </w:r>
            <w:r w:rsidRPr="009E0336">
              <w:rPr>
                <w:rFonts w:ascii="Times New Roman" w:eastAsia="Times New Roman" w:hAnsi="Times New Roman" w:cs="Times New Roman"/>
                <w:bCs/>
                <w:kern w:val="0"/>
                <w:sz w:val="20"/>
                <w:szCs w:val="20"/>
                <w:lang w:eastAsia="ar-SA"/>
              </w:rPr>
              <w:t>.g. za sufinanciranje dodatnih timova i to tim T1 na autocesti u Dugopolju</w:t>
            </w:r>
            <w:r w:rsidR="004D22C2" w:rsidRPr="009E0336">
              <w:rPr>
                <w:rFonts w:ascii="Times New Roman" w:eastAsia="Times New Roman" w:hAnsi="Times New Roman" w:cs="Times New Roman"/>
                <w:bCs/>
                <w:kern w:val="0"/>
                <w:sz w:val="20"/>
                <w:szCs w:val="20"/>
                <w:lang w:eastAsia="ar-SA"/>
              </w:rPr>
              <w:t xml:space="preserve"> i u Splitu</w:t>
            </w:r>
            <w:r w:rsidRPr="009E0336">
              <w:rPr>
                <w:rFonts w:ascii="Times New Roman" w:eastAsia="Times New Roman" w:hAnsi="Times New Roman" w:cs="Times New Roman"/>
                <w:bCs/>
                <w:kern w:val="0"/>
                <w:sz w:val="20"/>
                <w:szCs w:val="20"/>
                <w:lang w:eastAsia="ar-SA"/>
              </w:rPr>
              <w:t xml:space="preserve">, tim T2 u  Baškoj Vodi, doktor medicine u IHM </w:t>
            </w:r>
            <w:proofErr w:type="spellStart"/>
            <w:r w:rsidRPr="009E0336">
              <w:rPr>
                <w:rFonts w:ascii="Times New Roman" w:eastAsia="Times New Roman" w:hAnsi="Times New Roman" w:cs="Times New Roman"/>
                <w:bCs/>
                <w:kern w:val="0"/>
                <w:sz w:val="20"/>
                <w:szCs w:val="20"/>
                <w:lang w:eastAsia="ar-SA"/>
              </w:rPr>
              <w:t>Podaca</w:t>
            </w:r>
            <w:proofErr w:type="spellEnd"/>
            <w:r w:rsidRPr="009E0336">
              <w:rPr>
                <w:rFonts w:ascii="Times New Roman" w:eastAsia="Times New Roman" w:hAnsi="Times New Roman" w:cs="Times New Roman"/>
                <w:bCs/>
                <w:kern w:val="0"/>
                <w:sz w:val="20"/>
                <w:szCs w:val="20"/>
                <w:lang w:eastAsia="ar-SA"/>
              </w:rPr>
              <w:t xml:space="preserve">), u iznosu od </w:t>
            </w:r>
            <w:r w:rsidR="00D756CF" w:rsidRPr="009E0336">
              <w:rPr>
                <w:rFonts w:ascii="Times New Roman" w:eastAsia="Times New Roman" w:hAnsi="Times New Roman" w:cs="Times New Roman"/>
                <w:bCs/>
                <w:kern w:val="0"/>
                <w:sz w:val="20"/>
                <w:szCs w:val="20"/>
                <w:lang w:eastAsia="ar-SA"/>
              </w:rPr>
              <w:t>381</w:t>
            </w:r>
            <w:r w:rsidR="00530DEF" w:rsidRPr="009E0336">
              <w:rPr>
                <w:rFonts w:ascii="Times New Roman" w:eastAsia="Times New Roman" w:hAnsi="Times New Roman" w:cs="Times New Roman"/>
                <w:bCs/>
                <w:kern w:val="0"/>
                <w:sz w:val="20"/>
                <w:szCs w:val="20"/>
                <w:lang w:eastAsia="ar-SA"/>
              </w:rPr>
              <w:t>.000,00</w:t>
            </w:r>
            <w:r w:rsidRPr="009E0336">
              <w:rPr>
                <w:rFonts w:ascii="Times New Roman" w:eastAsia="Times New Roman" w:hAnsi="Times New Roman" w:cs="Times New Roman"/>
                <w:bCs/>
                <w:kern w:val="0"/>
                <w:sz w:val="20"/>
                <w:szCs w:val="20"/>
                <w:lang w:eastAsia="ar-SA"/>
              </w:rPr>
              <w:t xml:space="preserve"> € u 202</w:t>
            </w:r>
            <w:r w:rsidR="00D756CF" w:rsidRPr="009E0336">
              <w:rPr>
                <w:rFonts w:ascii="Times New Roman" w:eastAsia="Times New Roman" w:hAnsi="Times New Roman" w:cs="Times New Roman"/>
                <w:bCs/>
                <w:kern w:val="0"/>
                <w:sz w:val="20"/>
                <w:szCs w:val="20"/>
                <w:lang w:eastAsia="ar-SA"/>
              </w:rPr>
              <w:t>6</w:t>
            </w:r>
            <w:r w:rsidRPr="009E0336">
              <w:rPr>
                <w:rFonts w:ascii="Times New Roman" w:eastAsia="Times New Roman" w:hAnsi="Times New Roman" w:cs="Times New Roman"/>
                <w:bCs/>
                <w:kern w:val="0"/>
                <w:sz w:val="20"/>
                <w:szCs w:val="20"/>
                <w:lang w:eastAsia="ar-SA"/>
              </w:rPr>
              <w:t xml:space="preserve">.g. i  </w:t>
            </w:r>
            <w:r w:rsidR="00D756CF" w:rsidRPr="009E0336">
              <w:rPr>
                <w:rFonts w:ascii="Times New Roman" w:eastAsia="Times New Roman" w:hAnsi="Times New Roman" w:cs="Times New Roman"/>
                <w:bCs/>
                <w:kern w:val="0"/>
                <w:sz w:val="20"/>
                <w:szCs w:val="20"/>
                <w:lang w:eastAsia="ar-SA"/>
              </w:rPr>
              <w:t>390</w:t>
            </w:r>
            <w:r w:rsidR="00530DEF" w:rsidRPr="009E0336">
              <w:rPr>
                <w:rFonts w:ascii="Times New Roman" w:eastAsia="Times New Roman" w:hAnsi="Times New Roman" w:cs="Times New Roman"/>
                <w:bCs/>
                <w:kern w:val="0"/>
                <w:sz w:val="20"/>
                <w:szCs w:val="20"/>
                <w:lang w:eastAsia="ar-SA"/>
              </w:rPr>
              <w:t>.000,00</w:t>
            </w:r>
            <w:r w:rsidRPr="009E0336">
              <w:rPr>
                <w:rFonts w:ascii="Times New Roman" w:eastAsia="Times New Roman" w:hAnsi="Times New Roman" w:cs="Times New Roman"/>
                <w:bCs/>
                <w:kern w:val="0"/>
                <w:sz w:val="20"/>
                <w:szCs w:val="20"/>
                <w:lang w:eastAsia="ar-SA"/>
              </w:rPr>
              <w:t xml:space="preserve"> € u 202</w:t>
            </w:r>
            <w:r w:rsidR="00D756CF" w:rsidRPr="009E0336">
              <w:rPr>
                <w:rFonts w:ascii="Times New Roman" w:eastAsia="Times New Roman" w:hAnsi="Times New Roman" w:cs="Times New Roman"/>
                <w:bCs/>
                <w:kern w:val="0"/>
                <w:sz w:val="20"/>
                <w:szCs w:val="20"/>
                <w:lang w:eastAsia="ar-SA"/>
              </w:rPr>
              <w:t>7</w:t>
            </w:r>
            <w:r w:rsidRPr="009E0336">
              <w:rPr>
                <w:rFonts w:ascii="Times New Roman" w:eastAsia="Times New Roman" w:hAnsi="Times New Roman" w:cs="Times New Roman"/>
                <w:bCs/>
                <w:kern w:val="0"/>
                <w:sz w:val="20"/>
                <w:szCs w:val="20"/>
                <w:lang w:eastAsia="ar-SA"/>
              </w:rPr>
              <w:t>.g,</w:t>
            </w:r>
          </w:p>
          <w:p w14:paraId="66056055" w14:textId="12C92FA7" w:rsidR="0074131A" w:rsidRPr="009E0336" w:rsidRDefault="0074131A" w:rsidP="00C97AA2">
            <w:pPr>
              <w:widowControl/>
              <w:numPr>
                <w:ilvl w:val="0"/>
                <w:numId w:val="13"/>
              </w:numPr>
              <w:spacing w:after="0" w:line="240" w:lineRule="auto"/>
              <w:jc w:val="both"/>
              <w:rPr>
                <w:rFonts w:ascii="Times New Roman" w:eastAsia="Times New Roman" w:hAnsi="Times New Roman" w:cs="Times New Roman"/>
                <w:bCs/>
                <w:kern w:val="0"/>
                <w:sz w:val="20"/>
                <w:szCs w:val="20"/>
                <w:lang w:eastAsia="ar-SA"/>
              </w:rPr>
            </w:pPr>
            <w:r w:rsidRPr="009E0336">
              <w:rPr>
                <w:rFonts w:ascii="Times New Roman" w:eastAsia="Times New Roman" w:hAnsi="Times New Roman" w:cs="Times New Roman"/>
                <w:bCs/>
                <w:kern w:val="0"/>
                <w:sz w:val="20"/>
                <w:szCs w:val="20"/>
                <w:lang w:eastAsia="ar-SA"/>
              </w:rPr>
              <w:t>pomoći od Ministarstva turizma (za sufinanciranje dodatnih timova HM za vrijeme turističke sezone) i pomoći od jedinica lokalne samouprave (gradovi Trogir</w:t>
            </w:r>
            <w:r w:rsidR="00D756CF" w:rsidRPr="009E0336">
              <w:rPr>
                <w:rFonts w:ascii="Times New Roman" w:eastAsia="Times New Roman" w:hAnsi="Times New Roman" w:cs="Times New Roman"/>
                <w:bCs/>
                <w:kern w:val="0"/>
                <w:sz w:val="20"/>
                <w:szCs w:val="20"/>
                <w:lang w:eastAsia="ar-SA"/>
              </w:rPr>
              <w:t>, Makarska</w:t>
            </w:r>
            <w:r w:rsidRPr="009E0336">
              <w:rPr>
                <w:rFonts w:ascii="Times New Roman" w:eastAsia="Times New Roman" w:hAnsi="Times New Roman" w:cs="Times New Roman"/>
                <w:bCs/>
                <w:kern w:val="0"/>
                <w:sz w:val="20"/>
                <w:szCs w:val="20"/>
                <w:lang w:eastAsia="ar-SA"/>
              </w:rPr>
              <w:t xml:space="preserve"> i Split, općine Seget</w:t>
            </w:r>
            <w:r w:rsidR="00D756CF" w:rsidRPr="009E0336">
              <w:rPr>
                <w:rFonts w:ascii="Times New Roman" w:eastAsia="Times New Roman" w:hAnsi="Times New Roman" w:cs="Times New Roman"/>
                <w:bCs/>
                <w:kern w:val="0"/>
                <w:sz w:val="20"/>
                <w:szCs w:val="20"/>
                <w:lang w:eastAsia="ar-SA"/>
              </w:rPr>
              <w:t>,</w:t>
            </w:r>
            <w:r w:rsidRPr="009E0336">
              <w:rPr>
                <w:rFonts w:ascii="Times New Roman" w:eastAsia="Times New Roman" w:hAnsi="Times New Roman" w:cs="Times New Roman"/>
                <w:bCs/>
                <w:kern w:val="0"/>
                <w:sz w:val="20"/>
                <w:szCs w:val="20"/>
                <w:lang w:eastAsia="ar-SA"/>
              </w:rPr>
              <w:t xml:space="preserve"> Okrug</w:t>
            </w:r>
            <w:r w:rsidR="00D756CF" w:rsidRPr="009E0336">
              <w:rPr>
                <w:rFonts w:ascii="Times New Roman" w:eastAsia="Times New Roman" w:hAnsi="Times New Roman" w:cs="Times New Roman"/>
                <w:bCs/>
                <w:kern w:val="0"/>
                <w:sz w:val="20"/>
                <w:szCs w:val="20"/>
                <w:lang w:eastAsia="ar-SA"/>
              </w:rPr>
              <w:t>, Brela, Gradac, Podgora i Tučepi</w:t>
            </w:r>
            <w:r w:rsidRPr="009E0336">
              <w:rPr>
                <w:rFonts w:ascii="Times New Roman" w:eastAsia="Times New Roman" w:hAnsi="Times New Roman" w:cs="Times New Roman"/>
                <w:bCs/>
                <w:kern w:val="0"/>
                <w:sz w:val="20"/>
                <w:szCs w:val="20"/>
                <w:lang w:eastAsia="ar-SA"/>
              </w:rPr>
              <w:t xml:space="preserve"> za sufinanciranje dodatnih timova za vrijeme turističke sezone) u iznosu od </w:t>
            </w:r>
            <w:r w:rsidR="00D756CF" w:rsidRPr="009E0336">
              <w:rPr>
                <w:rFonts w:ascii="Times New Roman" w:eastAsia="Times New Roman" w:hAnsi="Times New Roman" w:cs="Times New Roman"/>
                <w:bCs/>
                <w:kern w:val="0"/>
                <w:sz w:val="20"/>
                <w:szCs w:val="20"/>
                <w:lang w:eastAsia="ar-SA"/>
              </w:rPr>
              <w:t>162.0</w:t>
            </w:r>
            <w:r w:rsidR="00530DEF" w:rsidRPr="009E0336">
              <w:rPr>
                <w:rFonts w:ascii="Times New Roman" w:eastAsia="Times New Roman" w:hAnsi="Times New Roman" w:cs="Times New Roman"/>
                <w:bCs/>
                <w:kern w:val="0"/>
                <w:sz w:val="20"/>
                <w:szCs w:val="20"/>
                <w:lang w:eastAsia="ar-SA"/>
              </w:rPr>
              <w:t>00,00</w:t>
            </w:r>
            <w:r w:rsidRPr="009E0336">
              <w:rPr>
                <w:rFonts w:ascii="Times New Roman" w:eastAsia="Times New Roman" w:hAnsi="Times New Roman" w:cs="Times New Roman"/>
                <w:bCs/>
                <w:kern w:val="0"/>
                <w:sz w:val="20"/>
                <w:szCs w:val="20"/>
                <w:lang w:eastAsia="ar-SA"/>
              </w:rPr>
              <w:t xml:space="preserve"> € u 202</w:t>
            </w:r>
            <w:r w:rsidR="00D756CF" w:rsidRPr="009E0336">
              <w:rPr>
                <w:rFonts w:ascii="Times New Roman" w:eastAsia="Times New Roman" w:hAnsi="Times New Roman" w:cs="Times New Roman"/>
                <w:bCs/>
                <w:kern w:val="0"/>
                <w:sz w:val="20"/>
                <w:szCs w:val="20"/>
                <w:lang w:eastAsia="ar-SA"/>
              </w:rPr>
              <w:t>5</w:t>
            </w:r>
            <w:r w:rsidRPr="009E0336">
              <w:rPr>
                <w:rFonts w:ascii="Times New Roman" w:eastAsia="Times New Roman" w:hAnsi="Times New Roman" w:cs="Times New Roman"/>
                <w:bCs/>
                <w:kern w:val="0"/>
                <w:sz w:val="20"/>
                <w:szCs w:val="20"/>
                <w:lang w:eastAsia="ar-SA"/>
              </w:rPr>
              <w:t xml:space="preserve">.g., </w:t>
            </w:r>
            <w:r w:rsidR="00D756CF" w:rsidRPr="009E0336">
              <w:rPr>
                <w:rFonts w:ascii="Times New Roman" w:eastAsia="Times New Roman" w:hAnsi="Times New Roman" w:cs="Times New Roman"/>
                <w:bCs/>
                <w:kern w:val="0"/>
                <w:sz w:val="20"/>
                <w:szCs w:val="20"/>
                <w:lang w:eastAsia="ar-SA"/>
              </w:rPr>
              <w:t>167</w:t>
            </w:r>
            <w:r w:rsidR="00C674A7" w:rsidRPr="009E0336">
              <w:rPr>
                <w:rFonts w:ascii="Times New Roman" w:eastAsia="Times New Roman" w:hAnsi="Times New Roman" w:cs="Times New Roman"/>
                <w:bCs/>
                <w:kern w:val="0"/>
                <w:sz w:val="20"/>
                <w:szCs w:val="20"/>
                <w:lang w:eastAsia="ar-SA"/>
              </w:rPr>
              <w:t>.000,00</w:t>
            </w:r>
            <w:r w:rsidRPr="009E0336">
              <w:rPr>
                <w:rFonts w:ascii="Times New Roman" w:eastAsia="Times New Roman" w:hAnsi="Times New Roman" w:cs="Times New Roman"/>
                <w:bCs/>
                <w:kern w:val="0"/>
                <w:sz w:val="20"/>
                <w:szCs w:val="20"/>
                <w:lang w:eastAsia="ar-SA"/>
              </w:rPr>
              <w:t xml:space="preserve"> € u 202</w:t>
            </w:r>
            <w:r w:rsidR="00D756CF" w:rsidRPr="009E0336">
              <w:rPr>
                <w:rFonts w:ascii="Times New Roman" w:eastAsia="Times New Roman" w:hAnsi="Times New Roman" w:cs="Times New Roman"/>
                <w:bCs/>
                <w:kern w:val="0"/>
                <w:sz w:val="20"/>
                <w:szCs w:val="20"/>
                <w:lang w:eastAsia="ar-SA"/>
              </w:rPr>
              <w:t>6</w:t>
            </w:r>
            <w:r w:rsidRPr="009E0336">
              <w:rPr>
                <w:rFonts w:ascii="Times New Roman" w:eastAsia="Times New Roman" w:hAnsi="Times New Roman" w:cs="Times New Roman"/>
                <w:bCs/>
                <w:kern w:val="0"/>
                <w:sz w:val="20"/>
                <w:szCs w:val="20"/>
                <w:lang w:eastAsia="ar-SA"/>
              </w:rPr>
              <w:t xml:space="preserve">.g. i </w:t>
            </w:r>
            <w:r w:rsidR="00D756CF" w:rsidRPr="009E0336">
              <w:rPr>
                <w:rFonts w:ascii="Times New Roman" w:eastAsia="Times New Roman" w:hAnsi="Times New Roman" w:cs="Times New Roman"/>
                <w:bCs/>
                <w:kern w:val="0"/>
                <w:sz w:val="20"/>
                <w:szCs w:val="20"/>
                <w:lang w:eastAsia="ar-SA"/>
              </w:rPr>
              <w:t>172</w:t>
            </w:r>
            <w:r w:rsidR="00C674A7" w:rsidRPr="009E0336">
              <w:rPr>
                <w:rFonts w:ascii="Times New Roman" w:eastAsia="Times New Roman" w:hAnsi="Times New Roman" w:cs="Times New Roman"/>
                <w:bCs/>
                <w:kern w:val="0"/>
                <w:sz w:val="20"/>
                <w:szCs w:val="20"/>
                <w:lang w:eastAsia="ar-SA"/>
              </w:rPr>
              <w:t>.</w:t>
            </w:r>
            <w:r w:rsidR="00D756CF" w:rsidRPr="009E0336">
              <w:rPr>
                <w:rFonts w:ascii="Times New Roman" w:eastAsia="Times New Roman" w:hAnsi="Times New Roman" w:cs="Times New Roman"/>
                <w:bCs/>
                <w:kern w:val="0"/>
                <w:sz w:val="20"/>
                <w:szCs w:val="20"/>
                <w:lang w:eastAsia="ar-SA"/>
              </w:rPr>
              <w:t>0</w:t>
            </w:r>
            <w:r w:rsidR="00C674A7" w:rsidRPr="009E0336">
              <w:rPr>
                <w:rFonts w:ascii="Times New Roman" w:eastAsia="Times New Roman" w:hAnsi="Times New Roman" w:cs="Times New Roman"/>
                <w:bCs/>
                <w:kern w:val="0"/>
                <w:sz w:val="20"/>
                <w:szCs w:val="20"/>
                <w:lang w:eastAsia="ar-SA"/>
              </w:rPr>
              <w:t>00,00</w:t>
            </w:r>
            <w:r w:rsidRPr="009E0336">
              <w:rPr>
                <w:rFonts w:ascii="Times New Roman" w:eastAsia="Times New Roman" w:hAnsi="Times New Roman" w:cs="Times New Roman"/>
                <w:bCs/>
                <w:kern w:val="0"/>
                <w:sz w:val="20"/>
                <w:szCs w:val="20"/>
                <w:lang w:eastAsia="ar-SA"/>
              </w:rPr>
              <w:t xml:space="preserve"> € u 202</w:t>
            </w:r>
            <w:r w:rsidR="00D756CF" w:rsidRPr="009E0336">
              <w:rPr>
                <w:rFonts w:ascii="Times New Roman" w:eastAsia="Times New Roman" w:hAnsi="Times New Roman" w:cs="Times New Roman"/>
                <w:bCs/>
                <w:kern w:val="0"/>
                <w:sz w:val="20"/>
                <w:szCs w:val="20"/>
                <w:lang w:eastAsia="ar-SA"/>
              </w:rPr>
              <w:t>7</w:t>
            </w:r>
            <w:r w:rsidRPr="009E0336">
              <w:rPr>
                <w:rFonts w:ascii="Times New Roman" w:eastAsia="Times New Roman" w:hAnsi="Times New Roman" w:cs="Times New Roman"/>
                <w:bCs/>
                <w:kern w:val="0"/>
                <w:sz w:val="20"/>
                <w:szCs w:val="20"/>
                <w:lang w:eastAsia="ar-SA"/>
              </w:rPr>
              <w:t>.godini.</w:t>
            </w:r>
          </w:p>
          <w:p w14:paraId="774D9C54" w14:textId="77777777" w:rsidR="0074131A" w:rsidRPr="009E0336" w:rsidRDefault="0074131A" w:rsidP="00C97AA2">
            <w:pPr>
              <w:widowControl/>
              <w:spacing w:after="0" w:line="240" w:lineRule="auto"/>
              <w:jc w:val="both"/>
              <w:rPr>
                <w:rFonts w:ascii="Times New Roman" w:hAnsi="Times New Roman" w:cs="Times New Roman"/>
                <w:bCs/>
                <w:color w:val="000000"/>
                <w:sz w:val="20"/>
                <w:szCs w:val="20"/>
              </w:rPr>
            </w:pPr>
          </w:p>
        </w:tc>
      </w:tr>
      <w:tr w:rsidR="0074131A" w:rsidRPr="009E0336" w14:paraId="164BA146" w14:textId="77777777" w:rsidTr="00702A1E">
        <w:trPr>
          <w:trHeight w:val="257"/>
        </w:trPr>
        <w:tc>
          <w:tcPr>
            <w:tcW w:w="1169"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BA84075" w14:textId="77777777" w:rsidR="0074131A" w:rsidRPr="009E0336" w:rsidRDefault="0074131A" w:rsidP="0074131A">
            <w:pPr>
              <w:widowControl/>
              <w:spacing w:after="0" w:line="240" w:lineRule="auto"/>
              <w:textAlignment w:val="baseline"/>
              <w:rPr>
                <w:rFonts w:ascii="Times New Roman" w:hAnsi="Times New Roman" w:cs="Times New Roman"/>
                <w:sz w:val="20"/>
                <w:szCs w:val="20"/>
              </w:rPr>
            </w:pPr>
            <w:r w:rsidRPr="009E0336">
              <w:rPr>
                <w:rFonts w:ascii="Times New Roman" w:eastAsia="Times New Roman" w:hAnsi="Times New Roman" w:cs="Times New Roman"/>
                <w:b/>
                <w:bCs/>
                <w:color w:val="000000"/>
                <w:sz w:val="20"/>
                <w:szCs w:val="20"/>
                <w:lang w:eastAsia="hr-HR"/>
              </w:rPr>
              <w:t>Obrazloženje izračuna financijskih sredstava:</w:t>
            </w:r>
          </w:p>
        </w:tc>
        <w:tc>
          <w:tcPr>
            <w:tcW w:w="8287" w:type="dxa"/>
            <w:gridSpan w:val="9"/>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BD930F" w14:textId="5A7B1ECC" w:rsidR="0074131A" w:rsidRPr="009E0336" w:rsidRDefault="00C674A7" w:rsidP="00C97AA2">
            <w:pPr>
              <w:spacing w:line="240" w:lineRule="auto"/>
              <w:jc w:val="both"/>
              <w:rPr>
                <w:rFonts w:ascii="Times New Roman" w:hAnsi="Times New Roman" w:cs="Times New Roman"/>
                <w:iCs/>
                <w:sz w:val="20"/>
                <w:szCs w:val="20"/>
              </w:rPr>
            </w:pPr>
            <w:r w:rsidRPr="009E0336">
              <w:rPr>
                <w:rFonts w:ascii="Times New Roman" w:hAnsi="Times New Roman" w:cs="Times New Roman"/>
                <w:iCs/>
                <w:sz w:val="20"/>
                <w:szCs w:val="20"/>
              </w:rPr>
              <w:t>U ovoj aktivnosti u 202</w:t>
            </w:r>
            <w:r w:rsidR="00D756CF" w:rsidRPr="009E0336">
              <w:rPr>
                <w:rFonts w:ascii="Times New Roman" w:hAnsi="Times New Roman" w:cs="Times New Roman"/>
                <w:iCs/>
                <w:sz w:val="20"/>
                <w:szCs w:val="20"/>
              </w:rPr>
              <w:t>5</w:t>
            </w:r>
            <w:r w:rsidRPr="009E0336">
              <w:rPr>
                <w:rFonts w:ascii="Times New Roman" w:hAnsi="Times New Roman" w:cs="Times New Roman"/>
                <w:iCs/>
                <w:sz w:val="20"/>
                <w:szCs w:val="20"/>
              </w:rPr>
              <w:t xml:space="preserve">.g. planiraju se prihodi </w:t>
            </w:r>
            <w:r w:rsidR="00F862D4" w:rsidRPr="009E0336">
              <w:rPr>
                <w:rFonts w:ascii="Times New Roman" w:hAnsi="Times New Roman" w:cs="Times New Roman"/>
                <w:iCs/>
                <w:sz w:val="20"/>
                <w:szCs w:val="20"/>
              </w:rPr>
              <w:t xml:space="preserve">iz proračuna SDŽ </w:t>
            </w:r>
            <w:r w:rsidRPr="009E0336">
              <w:rPr>
                <w:rFonts w:ascii="Times New Roman" w:hAnsi="Times New Roman" w:cs="Times New Roman"/>
                <w:iCs/>
                <w:sz w:val="20"/>
                <w:szCs w:val="20"/>
              </w:rPr>
              <w:t>u iznosu od 10</w:t>
            </w:r>
            <w:r w:rsidR="00D756CF" w:rsidRPr="009E0336">
              <w:rPr>
                <w:rFonts w:ascii="Times New Roman" w:hAnsi="Times New Roman" w:cs="Times New Roman"/>
                <w:iCs/>
                <w:sz w:val="20"/>
                <w:szCs w:val="20"/>
              </w:rPr>
              <w:t>5</w:t>
            </w:r>
            <w:r w:rsidRPr="009E0336">
              <w:rPr>
                <w:rFonts w:ascii="Times New Roman" w:hAnsi="Times New Roman" w:cs="Times New Roman"/>
                <w:iCs/>
                <w:sz w:val="20"/>
                <w:szCs w:val="20"/>
              </w:rPr>
              <w:t>.000,00 € (0,</w:t>
            </w:r>
            <w:r w:rsidR="00D756CF" w:rsidRPr="009E0336">
              <w:rPr>
                <w:rFonts w:ascii="Times New Roman" w:hAnsi="Times New Roman" w:cs="Times New Roman"/>
                <w:iCs/>
                <w:sz w:val="20"/>
                <w:szCs w:val="20"/>
              </w:rPr>
              <w:t>3</w:t>
            </w:r>
            <w:r w:rsidRPr="009E0336">
              <w:rPr>
                <w:rFonts w:ascii="Times New Roman" w:hAnsi="Times New Roman" w:cs="Times New Roman"/>
                <w:iCs/>
                <w:sz w:val="20"/>
                <w:szCs w:val="20"/>
              </w:rPr>
              <w:t xml:space="preserve"> % od ukupnog plana za 202</w:t>
            </w:r>
            <w:r w:rsidR="00D756CF" w:rsidRPr="009E0336">
              <w:rPr>
                <w:rFonts w:ascii="Times New Roman" w:hAnsi="Times New Roman" w:cs="Times New Roman"/>
                <w:iCs/>
                <w:sz w:val="20"/>
                <w:szCs w:val="20"/>
              </w:rPr>
              <w:t>5</w:t>
            </w:r>
            <w:r w:rsidRPr="009E0336">
              <w:rPr>
                <w:rFonts w:ascii="Times New Roman" w:hAnsi="Times New Roman" w:cs="Times New Roman"/>
                <w:iCs/>
                <w:sz w:val="20"/>
                <w:szCs w:val="20"/>
              </w:rPr>
              <w:t xml:space="preserve">.g.) za financiranje dodatnih timova, </w:t>
            </w:r>
            <w:r w:rsidR="00F862D4" w:rsidRPr="009E0336">
              <w:rPr>
                <w:rFonts w:ascii="Times New Roman" w:hAnsi="Times New Roman" w:cs="Times New Roman"/>
                <w:iCs/>
                <w:sz w:val="20"/>
                <w:szCs w:val="20"/>
              </w:rPr>
              <w:t xml:space="preserve">iz prihoda od HZZO-a u iznosu od </w:t>
            </w:r>
            <w:r w:rsidR="00D756CF" w:rsidRPr="009E0336">
              <w:rPr>
                <w:rFonts w:ascii="Times New Roman" w:hAnsi="Times New Roman" w:cs="Times New Roman"/>
                <w:iCs/>
                <w:sz w:val="20"/>
                <w:szCs w:val="20"/>
              </w:rPr>
              <w:t>365</w:t>
            </w:r>
            <w:r w:rsidRPr="009E0336">
              <w:rPr>
                <w:rFonts w:ascii="Times New Roman" w:hAnsi="Times New Roman" w:cs="Times New Roman"/>
                <w:iCs/>
                <w:sz w:val="20"/>
                <w:szCs w:val="20"/>
              </w:rPr>
              <w:t>.000,00 € (</w:t>
            </w:r>
            <w:r w:rsidR="00D756CF" w:rsidRPr="009E0336">
              <w:rPr>
                <w:rFonts w:ascii="Times New Roman" w:hAnsi="Times New Roman" w:cs="Times New Roman"/>
                <w:iCs/>
                <w:sz w:val="20"/>
                <w:szCs w:val="20"/>
              </w:rPr>
              <w:t>1,1</w:t>
            </w:r>
            <w:r w:rsidRPr="009E0336">
              <w:rPr>
                <w:rFonts w:ascii="Times New Roman" w:hAnsi="Times New Roman" w:cs="Times New Roman"/>
                <w:iCs/>
                <w:sz w:val="20"/>
                <w:szCs w:val="20"/>
              </w:rPr>
              <w:t xml:space="preserve"> % ukupnog plana) za dodatne timove te </w:t>
            </w:r>
            <w:r w:rsidR="00F862D4" w:rsidRPr="009E0336">
              <w:rPr>
                <w:rFonts w:ascii="Times New Roman" w:hAnsi="Times New Roman" w:cs="Times New Roman"/>
                <w:iCs/>
                <w:sz w:val="20"/>
                <w:szCs w:val="20"/>
              </w:rPr>
              <w:t xml:space="preserve">iz prihoda pomoći iz proračuna jedinica lokalne samouprave i od Ministarstva turizma u iznosu od </w:t>
            </w:r>
            <w:r w:rsidR="00D756CF" w:rsidRPr="009E0336">
              <w:rPr>
                <w:rFonts w:ascii="Times New Roman" w:hAnsi="Times New Roman" w:cs="Times New Roman"/>
                <w:iCs/>
                <w:sz w:val="20"/>
                <w:szCs w:val="20"/>
              </w:rPr>
              <w:t>162</w:t>
            </w:r>
            <w:r w:rsidRPr="009E0336">
              <w:rPr>
                <w:rFonts w:ascii="Times New Roman" w:hAnsi="Times New Roman" w:cs="Times New Roman"/>
                <w:iCs/>
                <w:sz w:val="20"/>
                <w:szCs w:val="20"/>
              </w:rPr>
              <w:t>.000,00 € (0,</w:t>
            </w:r>
            <w:r w:rsidR="00D756CF" w:rsidRPr="009E0336">
              <w:rPr>
                <w:rFonts w:ascii="Times New Roman" w:hAnsi="Times New Roman" w:cs="Times New Roman"/>
                <w:iCs/>
                <w:sz w:val="20"/>
                <w:szCs w:val="20"/>
              </w:rPr>
              <w:t>5</w:t>
            </w:r>
            <w:r w:rsidRPr="009E0336">
              <w:rPr>
                <w:rFonts w:ascii="Times New Roman" w:hAnsi="Times New Roman" w:cs="Times New Roman"/>
                <w:iCs/>
                <w:sz w:val="20"/>
                <w:szCs w:val="20"/>
              </w:rPr>
              <w:t xml:space="preserve"> % ukupnog plana) za dodatne timove. </w:t>
            </w:r>
            <w:r w:rsidR="0074131A" w:rsidRPr="009E0336">
              <w:rPr>
                <w:rFonts w:ascii="Times New Roman" w:hAnsi="Times New Roman" w:cs="Times New Roman"/>
                <w:iCs/>
                <w:sz w:val="20"/>
                <w:szCs w:val="20"/>
              </w:rPr>
              <w:t>U 202</w:t>
            </w:r>
            <w:r w:rsidR="00D756CF" w:rsidRPr="009E0336">
              <w:rPr>
                <w:rFonts w:ascii="Times New Roman" w:hAnsi="Times New Roman" w:cs="Times New Roman"/>
                <w:iCs/>
                <w:sz w:val="20"/>
                <w:szCs w:val="20"/>
              </w:rPr>
              <w:t>5</w:t>
            </w:r>
            <w:r w:rsidR="0074131A" w:rsidRPr="009E0336">
              <w:rPr>
                <w:rFonts w:ascii="Times New Roman" w:hAnsi="Times New Roman" w:cs="Times New Roman"/>
                <w:iCs/>
                <w:sz w:val="20"/>
                <w:szCs w:val="20"/>
              </w:rPr>
              <w:t xml:space="preserve">.g. u ovoj aktivnosti financirati će se rashodi za zaposlene u iznosu od </w:t>
            </w:r>
            <w:r w:rsidR="00D756CF" w:rsidRPr="009E0336">
              <w:rPr>
                <w:rFonts w:ascii="Times New Roman" w:hAnsi="Times New Roman" w:cs="Times New Roman"/>
                <w:iCs/>
                <w:sz w:val="20"/>
                <w:szCs w:val="20"/>
              </w:rPr>
              <w:t>615</w:t>
            </w:r>
            <w:r w:rsidRPr="009E0336">
              <w:rPr>
                <w:rFonts w:ascii="Times New Roman" w:hAnsi="Times New Roman" w:cs="Times New Roman"/>
                <w:iCs/>
                <w:sz w:val="20"/>
                <w:szCs w:val="20"/>
              </w:rPr>
              <w:t>.000,00</w:t>
            </w:r>
            <w:r w:rsidR="0074131A" w:rsidRPr="009E0336">
              <w:rPr>
                <w:rFonts w:ascii="Times New Roman" w:hAnsi="Times New Roman" w:cs="Times New Roman"/>
                <w:iCs/>
                <w:sz w:val="20"/>
                <w:szCs w:val="20"/>
              </w:rPr>
              <w:t xml:space="preserve"> € odnosno </w:t>
            </w:r>
            <w:r w:rsidR="00D756CF" w:rsidRPr="009E0336">
              <w:rPr>
                <w:rFonts w:ascii="Times New Roman" w:hAnsi="Times New Roman" w:cs="Times New Roman"/>
                <w:iCs/>
                <w:sz w:val="20"/>
                <w:szCs w:val="20"/>
              </w:rPr>
              <w:t>1,9</w:t>
            </w:r>
            <w:r w:rsidR="0074131A" w:rsidRPr="009E0336">
              <w:rPr>
                <w:rFonts w:ascii="Times New Roman" w:hAnsi="Times New Roman" w:cs="Times New Roman"/>
                <w:iCs/>
                <w:sz w:val="20"/>
                <w:szCs w:val="20"/>
              </w:rPr>
              <w:t xml:space="preserve"> % ukupnog plana, te materijalni rashodi u iznosu od </w:t>
            </w:r>
            <w:r w:rsidR="00D756CF" w:rsidRPr="009E0336">
              <w:rPr>
                <w:rFonts w:ascii="Times New Roman" w:hAnsi="Times New Roman" w:cs="Times New Roman"/>
                <w:iCs/>
                <w:sz w:val="20"/>
                <w:szCs w:val="20"/>
              </w:rPr>
              <w:t>17</w:t>
            </w:r>
            <w:r w:rsidR="0074131A" w:rsidRPr="009E0336">
              <w:rPr>
                <w:rFonts w:ascii="Times New Roman" w:hAnsi="Times New Roman" w:cs="Times New Roman"/>
                <w:iCs/>
                <w:sz w:val="20"/>
                <w:szCs w:val="20"/>
              </w:rPr>
              <w:t>.</w:t>
            </w:r>
            <w:r w:rsidRPr="009E0336">
              <w:rPr>
                <w:rFonts w:ascii="Times New Roman" w:hAnsi="Times New Roman" w:cs="Times New Roman"/>
                <w:iCs/>
                <w:sz w:val="20"/>
                <w:szCs w:val="20"/>
              </w:rPr>
              <w:t>000,00</w:t>
            </w:r>
            <w:r w:rsidR="0074131A" w:rsidRPr="009E0336">
              <w:rPr>
                <w:rFonts w:ascii="Times New Roman" w:hAnsi="Times New Roman" w:cs="Times New Roman"/>
                <w:iCs/>
                <w:sz w:val="20"/>
                <w:szCs w:val="20"/>
              </w:rPr>
              <w:t xml:space="preserve"> € odnosno  </w:t>
            </w:r>
            <w:r w:rsidR="00D756CF" w:rsidRPr="009E0336">
              <w:rPr>
                <w:rFonts w:ascii="Times New Roman" w:hAnsi="Times New Roman" w:cs="Times New Roman"/>
                <w:iCs/>
                <w:sz w:val="20"/>
                <w:szCs w:val="20"/>
              </w:rPr>
              <w:t>0,1</w:t>
            </w:r>
            <w:r w:rsidR="0074131A" w:rsidRPr="009E0336">
              <w:rPr>
                <w:rFonts w:ascii="Times New Roman" w:hAnsi="Times New Roman" w:cs="Times New Roman"/>
                <w:iCs/>
                <w:sz w:val="20"/>
                <w:szCs w:val="20"/>
              </w:rPr>
              <w:t xml:space="preserve"> % ukupnog plana.</w:t>
            </w:r>
          </w:p>
          <w:p w14:paraId="23BF7606" w14:textId="75A21328" w:rsidR="0074131A" w:rsidRPr="009E0336" w:rsidRDefault="00E53982" w:rsidP="00C97AA2">
            <w:pPr>
              <w:spacing w:line="240" w:lineRule="auto"/>
              <w:jc w:val="both"/>
              <w:rPr>
                <w:rFonts w:ascii="Times New Roman" w:hAnsi="Times New Roman" w:cs="Times New Roman"/>
                <w:sz w:val="20"/>
                <w:szCs w:val="20"/>
              </w:rPr>
            </w:pPr>
            <w:r w:rsidRPr="009E0336">
              <w:rPr>
                <w:rFonts w:ascii="Times New Roman" w:eastAsia="Times New Roman" w:hAnsi="Times New Roman" w:cs="Times New Roman"/>
                <w:bCs/>
                <w:kern w:val="0"/>
                <w:sz w:val="20"/>
                <w:szCs w:val="20"/>
                <w:lang w:eastAsia="ar-SA"/>
              </w:rPr>
              <w:t>Planirana sredstva u 202</w:t>
            </w:r>
            <w:r w:rsidR="001D78E0" w:rsidRPr="009E0336">
              <w:rPr>
                <w:rFonts w:ascii="Times New Roman" w:eastAsia="Times New Roman" w:hAnsi="Times New Roman" w:cs="Times New Roman"/>
                <w:bCs/>
                <w:kern w:val="0"/>
                <w:sz w:val="20"/>
                <w:szCs w:val="20"/>
                <w:lang w:eastAsia="ar-SA"/>
              </w:rPr>
              <w:t>6</w:t>
            </w:r>
            <w:r w:rsidRPr="009E0336">
              <w:rPr>
                <w:rFonts w:ascii="Times New Roman" w:eastAsia="Times New Roman" w:hAnsi="Times New Roman" w:cs="Times New Roman"/>
                <w:bCs/>
                <w:kern w:val="0"/>
                <w:sz w:val="20"/>
                <w:szCs w:val="20"/>
                <w:lang w:eastAsia="ar-SA"/>
              </w:rPr>
              <w:t xml:space="preserve">.g. ukupno su veća za </w:t>
            </w:r>
            <w:r w:rsidR="001D78E0" w:rsidRPr="009E0336">
              <w:rPr>
                <w:rFonts w:ascii="Times New Roman" w:eastAsia="Times New Roman" w:hAnsi="Times New Roman" w:cs="Times New Roman"/>
                <w:bCs/>
                <w:kern w:val="0"/>
                <w:sz w:val="20"/>
                <w:szCs w:val="20"/>
                <w:lang w:eastAsia="ar-SA"/>
              </w:rPr>
              <w:t>4,1</w:t>
            </w:r>
            <w:r w:rsidRPr="009E0336">
              <w:rPr>
                <w:rFonts w:ascii="Times New Roman" w:eastAsia="Times New Roman" w:hAnsi="Times New Roman" w:cs="Times New Roman"/>
                <w:bCs/>
                <w:kern w:val="0"/>
                <w:sz w:val="20"/>
                <w:szCs w:val="20"/>
                <w:lang w:eastAsia="ar-SA"/>
              </w:rPr>
              <w:t xml:space="preserve"> % u odnosu na 202</w:t>
            </w:r>
            <w:r w:rsidR="001D78E0" w:rsidRPr="009E0336">
              <w:rPr>
                <w:rFonts w:ascii="Times New Roman" w:eastAsia="Times New Roman" w:hAnsi="Times New Roman" w:cs="Times New Roman"/>
                <w:bCs/>
                <w:kern w:val="0"/>
                <w:sz w:val="20"/>
                <w:szCs w:val="20"/>
                <w:lang w:eastAsia="ar-SA"/>
              </w:rPr>
              <w:t>5</w:t>
            </w:r>
            <w:r w:rsidRPr="009E0336">
              <w:rPr>
                <w:rFonts w:ascii="Times New Roman" w:eastAsia="Times New Roman" w:hAnsi="Times New Roman" w:cs="Times New Roman"/>
                <w:bCs/>
                <w:kern w:val="0"/>
                <w:sz w:val="20"/>
                <w:szCs w:val="20"/>
                <w:lang w:eastAsia="ar-SA"/>
              </w:rPr>
              <w:t xml:space="preserve">.g. jer se planira veći prihod </w:t>
            </w:r>
            <w:r w:rsidR="001D78E0" w:rsidRPr="009E0336">
              <w:rPr>
                <w:rFonts w:ascii="Times New Roman" w:eastAsia="Times New Roman" w:hAnsi="Times New Roman" w:cs="Times New Roman"/>
                <w:bCs/>
                <w:kern w:val="0"/>
                <w:sz w:val="20"/>
                <w:szCs w:val="20"/>
                <w:lang w:eastAsia="ar-SA"/>
              </w:rPr>
              <w:t>kojim će se financirati povećani rashodi za zaposlenike uslijed</w:t>
            </w:r>
            <w:r w:rsidRPr="009E0336">
              <w:rPr>
                <w:rFonts w:ascii="Times New Roman" w:eastAsia="Times New Roman" w:hAnsi="Times New Roman" w:cs="Times New Roman"/>
                <w:bCs/>
                <w:kern w:val="0"/>
                <w:sz w:val="20"/>
                <w:szCs w:val="20"/>
                <w:lang w:eastAsia="ar-SA"/>
              </w:rPr>
              <w:t xml:space="preserve"> </w:t>
            </w:r>
            <w:r w:rsidR="005D7065" w:rsidRPr="009E0336">
              <w:rPr>
                <w:rFonts w:ascii="Times New Roman" w:eastAsia="Times New Roman" w:hAnsi="Times New Roman" w:cs="Times New Roman"/>
                <w:bCs/>
                <w:kern w:val="0"/>
                <w:sz w:val="20"/>
                <w:szCs w:val="20"/>
                <w:lang w:eastAsia="ar-SA"/>
              </w:rPr>
              <w:t xml:space="preserve">redovnog povećanja za </w:t>
            </w:r>
            <w:r w:rsidRPr="009E0336">
              <w:rPr>
                <w:rFonts w:ascii="Times New Roman" w:eastAsia="Times New Roman" w:hAnsi="Times New Roman" w:cs="Times New Roman"/>
                <w:bCs/>
                <w:kern w:val="0"/>
                <w:sz w:val="20"/>
                <w:szCs w:val="20"/>
                <w:lang w:eastAsia="ar-SA"/>
              </w:rPr>
              <w:t>minu</w:t>
            </w:r>
            <w:r w:rsidR="005D7065" w:rsidRPr="009E0336">
              <w:rPr>
                <w:rFonts w:ascii="Times New Roman" w:eastAsia="Times New Roman" w:hAnsi="Times New Roman" w:cs="Times New Roman"/>
                <w:bCs/>
                <w:kern w:val="0"/>
                <w:sz w:val="20"/>
                <w:szCs w:val="20"/>
                <w:lang w:eastAsia="ar-SA"/>
              </w:rPr>
              <w:t>li</w:t>
            </w:r>
            <w:r w:rsidRPr="009E0336">
              <w:rPr>
                <w:rFonts w:ascii="Times New Roman" w:eastAsia="Times New Roman" w:hAnsi="Times New Roman" w:cs="Times New Roman"/>
                <w:bCs/>
                <w:kern w:val="0"/>
                <w:sz w:val="20"/>
                <w:szCs w:val="20"/>
                <w:lang w:eastAsia="ar-SA"/>
              </w:rPr>
              <w:t xml:space="preserve"> staž</w:t>
            </w:r>
            <w:r w:rsidR="001D78E0" w:rsidRPr="009E0336">
              <w:rPr>
                <w:rFonts w:ascii="Times New Roman" w:eastAsia="Times New Roman" w:hAnsi="Times New Roman" w:cs="Times New Roman"/>
                <w:bCs/>
                <w:kern w:val="0"/>
                <w:sz w:val="20"/>
                <w:szCs w:val="20"/>
                <w:lang w:eastAsia="ar-SA"/>
              </w:rPr>
              <w:t xml:space="preserve"> zaposlenika te ukidanja olakšice oslobađanja od obveze doprinosa na plaću mladih osoba. </w:t>
            </w:r>
            <w:r w:rsidRPr="009E0336">
              <w:rPr>
                <w:rFonts w:ascii="Times New Roman" w:eastAsia="Times New Roman" w:hAnsi="Times New Roman" w:cs="Times New Roman"/>
                <w:bCs/>
                <w:kern w:val="0"/>
                <w:sz w:val="20"/>
                <w:szCs w:val="20"/>
                <w:lang w:eastAsia="ar-SA"/>
              </w:rPr>
              <w:t xml:space="preserve"> </w:t>
            </w:r>
            <w:r w:rsidR="005D7065" w:rsidRPr="009E0336">
              <w:rPr>
                <w:rFonts w:ascii="Times New Roman" w:eastAsia="Times New Roman" w:hAnsi="Times New Roman" w:cs="Times New Roman"/>
                <w:bCs/>
                <w:kern w:val="0"/>
                <w:sz w:val="20"/>
                <w:szCs w:val="20"/>
                <w:lang w:eastAsia="ar-SA"/>
              </w:rPr>
              <w:t>Uravnoteženo prihodima u 202</w:t>
            </w:r>
            <w:r w:rsidR="001D78E0" w:rsidRPr="009E0336">
              <w:rPr>
                <w:rFonts w:ascii="Times New Roman" w:eastAsia="Times New Roman" w:hAnsi="Times New Roman" w:cs="Times New Roman"/>
                <w:bCs/>
                <w:kern w:val="0"/>
                <w:sz w:val="20"/>
                <w:szCs w:val="20"/>
                <w:lang w:eastAsia="ar-SA"/>
              </w:rPr>
              <w:t>6</w:t>
            </w:r>
            <w:r w:rsidR="005D7065" w:rsidRPr="009E0336">
              <w:rPr>
                <w:rFonts w:ascii="Times New Roman" w:eastAsia="Times New Roman" w:hAnsi="Times New Roman" w:cs="Times New Roman"/>
                <w:bCs/>
                <w:kern w:val="0"/>
                <w:sz w:val="20"/>
                <w:szCs w:val="20"/>
                <w:lang w:eastAsia="ar-SA"/>
              </w:rPr>
              <w:t xml:space="preserve">.g. planiraju se </w:t>
            </w:r>
            <w:r w:rsidR="0074131A" w:rsidRPr="009E0336">
              <w:rPr>
                <w:rFonts w:ascii="Times New Roman" w:hAnsi="Times New Roman" w:cs="Times New Roman"/>
                <w:iCs/>
                <w:sz w:val="20"/>
                <w:szCs w:val="20"/>
              </w:rPr>
              <w:t xml:space="preserve">rashodi za zaposlene u iznosu od </w:t>
            </w:r>
            <w:r w:rsidR="001D78E0" w:rsidRPr="009E0336">
              <w:rPr>
                <w:rFonts w:ascii="Times New Roman" w:hAnsi="Times New Roman" w:cs="Times New Roman"/>
                <w:iCs/>
                <w:sz w:val="20"/>
                <w:szCs w:val="20"/>
              </w:rPr>
              <w:t>639</w:t>
            </w:r>
            <w:r w:rsidR="00787DD7" w:rsidRPr="009E0336">
              <w:rPr>
                <w:rFonts w:ascii="Times New Roman" w:hAnsi="Times New Roman" w:cs="Times New Roman"/>
                <w:iCs/>
                <w:sz w:val="20"/>
                <w:szCs w:val="20"/>
              </w:rPr>
              <w:t>.000,00</w:t>
            </w:r>
            <w:r w:rsidR="0074131A" w:rsidRPr="009E0336">
              <w:rPr>
                <w:rFonts w:ascii="Times New Roman" w:hAnsi="Times New Roman" w:cs="Times New Roman"/>
                <w:iCs/>
                <w:sz w:val="20"/>
                <w:szCs w:val="20"/>
              </w:rPr>
              <w:t xml:space="preserve"> </w:t>
            </w:r>
            <w:r w:rsidR="0074131A" w:rsidRPr="009E0336">
              <w:rPr>
                <w:rFonts w:ascii="Times New Roman" w:eastAsia="Times New Roman" w:hAnsi="Times New Roman" w:cs="Times New Roman"/>
                <w:bCs/>
                <w:kern w:val="0"/>
                <w:sz w:val="20"/>
                <w:szCs w:val="20"/>
                <w:lang w:eastAsia="ar-SA"/>
              </w:rPr>
              <w:t>€ (veći</w:t>
            </w:r>
            <w:r w:rsidR="0074131A" w:rsidRPr="009E0336">
              <w:rPr>
                <w:rFonts w:ascii="Times New Roman" w:hAnsi="Times New Roman" w:cs="Times New Roman"/>
                <w:iCs/>
                <w:sz w:val="20"/>
                <w:szCs w:val="20"/>
              </w:rPr>
              <w:t xml:space="preserve"> su za </w:t>
            </w:r>
            <w:r w:rsidR="001D78E0" w:rsidRPr="009E0336">
              <w:rPr>
                <w:rFonts w:ascii="Times New Roman" w:hAnsi="Times New Roman" w:cs="Times New Roman"/>
                <w:iCs/>
                <w:sz w:val="20"/>
                <w:szCs w:val="20"/>
              </w:rPr>
              <w:t>3,9</w:t>
            </w:r>
            <w:r w:rsidR="0074131A" w:rsidRPr="009E0336">
              <w:rPr>
                <w:rFonts w:ascii="Times New Roman" w:hAnsi="Times New Roman" w:cs="Times New Roman"/>
                <w:iCs/>
                <w:sz w:val="20"/>
                <w:szCs w:val="20"/>
              </w:rPr>
              <w:t xml:space="preserve"> % u odnosu na 202</w:t>
            </w:r>
            <w:r w:rsidR="001D78E0" w:rsidRPr="009E0336">
              <w:rPr>
                <w:rFonts w:ascii="Times New Roman" w:hAnsi="Times New Roman" w:cs="Times New Roman"/>
                <w:iCs/>
                <w:sz w:val="20"/>
                <w:szCs w:val="20"/>
              </w:rPr>
              <w:t>5</w:t>
            </w:r>
            <w:r w:rsidR="0074131A" w:rsidRPr="009E0336">
              <w:rPr>
                <w:rFonts w:ascii="Times New Roman" w:hAnsi="Times New Roman" w:cs="Times New Roman"/>
                <w:iCs/>
                <w:sz w:val="20"/>
                <w:szCs w:val="20"/>
              </w:rPr>
              <w:t>.g.</w:t>
            </w:r>
            <w:r w:rsidR="005D7065" w:rsidRPr="009E0336">
              <w:rPr>
                <w:rFonts w:ascii="Times New Roman" w:hAnsi="Times New Roman" w:cs="Times New Roman"/>
                <w:iCs/>
                <w:sz w:val="20"/>
                <w:szCs w:val="20"/>
              </w:rPr>
              <w:t>) i</w:t>
            </w:r>
            <w:r w:rsidR="0074131A" w:rsidRPr="009E0336">
              <w:rPr>
                <w:rFonts w:ascii="Times New Roman" w:hAnsi="Times New Roman" w:cs="Times New Roman"/>
                <w:iCs/>
                <w:sz w:val="20"/>
                <w:szCs w:val="20"/>
              </w:rPr>
              <w:t xml:space="preserve"> materijalni rashodi u iznosu od </w:t>
            </w:r>
            <w:r w:rsidR="001D78E0" w:rsidRPr="009E0336">
              <w:rPr>
                <w:rFonts w:ascii="Times New Roman" w:hAnsi="Times New Roman" w:cs="Times New Roman"/>
                <w:iCs/>
                <w:sz w:val="20"/>
                <w:szCs w:val="20"/>
              </w:rPr>
              <w:t>19</w:t>
            </w:r>
            <w:r w:rsidR="00787DD7" w:rsidRPr="009E0336">
              <w:rPr>
                <w:rFonts w:ascii="Times New Roman" w:hAnsi="Times New Roman" w:cs="Times New Roman"/>
                <w:iCs/>
                <w:sz w:val="20"/>
                <w:szCs w:val="20"/>
              </w:rPr>
              <w:t>.000,00</w:t>
            </w:r>
            <w:r w:rsidR="0074131A" w:rsidRPr="009E0336">
              <w:rPr>
                <w:rFonts w:ascii="Times New Roman" w:hAnsi="Times New Roman" w:cs="Times New Roman"/>
                <w:iCs/>
                <w:sz w:val="20"/>
                <w:szCs w:val="20"/>
              </w:rPr>
              <w:t xml:space="preserve">  </w:t>
            </w:r>
            <w:r w:rsidR="0074131A" w:rsidRPr="009E0336">
              <w:rPr>
                <w:rFonts w:ascii="Times New Roman" w:eastAsia="Times New Roman" w:hAnsi="Times New Roman" w:cs="Times New Roman"/>
                <w:bCs/>
                <w:kern w:val="0"/>
                <w:sz w:val="20"/>
                <w:szCs w:val="20"/>
                <w:lang w:eastAsia="ar-SA"/>
              </w:rPr>
              <w:t>€</w:t>
            </w:r>
            <w:r w:rsidR="005D7065" w:rsidRPr="009E0336">
              <w:rPr>
                <w:rFonts w:ascii="Times New Roman" w:eastAsia="Times New Roman" w:hAnsi="Times New Roman" w:cs="Times New Roman"/>
                <w:bCs/>
                <w:kern w:val="0"/>
                <w:sz w:val="20"/>
                <w:szCs w:val="20"/>
                <w:lang w:eastAsia="ar-SA"/>
              </w:rPr>
              <w:t xml:space="preserve"> (</w:t>
            </w:r>
            <w:r w:rsidR="001D78E0" w:rsidRPr="009E0336">
              <w:rPr>
                <w:rFonts w:ascii="Times New Roman" w:eastAsia="Times New Roman" w:hAnsi="Times New Roman" w:cs="Times New Roman"/>
                <w:bCs/>
                <w:kern w:val="0"/>
                <w:sz w:val="20"/>
                <w:szCs w:val="20"/>
                <w:lang w:eastAsia="ar-SA"/>
              </w:rPr>
              <w:t>veći su za 11,8 % u odnosu na prethodnu godinu</w:t>
            </w:r>
            <w:r w:rsidR="005D7065" w:rsidRPr="009E0336">
              <w:rPr>
                <w:rFonts w:ascii="Times New Roman" w:eastAsia="Times New Roman" w:hAnsi="Times New Roman" w:cs="Times New Roman"/>
                <w:bCs/>
                <w:kern w:val="0"/>
                <w:sz w:val="20"/>
                <w:szCs w:val="20"/>
                <w:lang w:eastAsia="ar-SA"/>
              </w:rPr>
              <w:t>).</w:t>
            </w:r>
          </w:p>
          <w:p w14:paraId="6E6E3DF4" w14:textId="74E50A56" w:rsidR="0074131A" w:rsidRPr="009E0336" w:rsidRDefault="0074131A" w:rsidP="00C97AA2">
            <w:pPr>
              <w:spacing w:line="240" w:lineRule="auto"/>
              <w:jc w:val="both"/>
              <w:rPr>
                <w:rFonts w:ascii="Times New Roman" w:hAnsi="Times New Roman" w:cs="Times New Roman"/>
                <w:iCs/>
                <w:sz w:val="20"/>
                <w:szCs w:val="20"/>
              </w:rPr>
            </w:pPr>
            <w:r w:rsidRPr="009E0336">
              <w:rPr>
                <w:rFonts w:ascii="Times New Roman" w:hAnsi="Times New Roman" w:cs="Times New Roman"/>
                <w:iCs/>
                <w:sz w:val="20"/>
                <w:szCs w:val="20"/>
              </w:rPr>
              <w:t>U 202</w:t>
            </w:r>
            <w:r w:rsidR="001D78E0" w:rsidRPr="009E0336">
              <w:rPr>
                <w:rFonts w:ascii="Times New Roman" w:hAnsi="Times New Roman" w:cs="Times New Roman"/>
                <w:iCs/>
                <w:sz w:val="20"/>
                <w:szCs w:val="20"/>
              </w:rPr>
              <w:t>7</w:t>
            </w:r>
            <w:r w:rsidRPr="009E0336">
              <w:rPr>
                <w:rFonts w:ascii="Times New Roman" w:hAnsi="Times New Roman" w:cs="Times New Roman"/>
                <w:iCs/>
                <w:sz w:val="20"/>
                <w:szCs w:val="20"/>
              </w:rPr>
              <w:t xml:space="preserve">. godini </w:t>
            </w:r>
            <w:r w:rsidR="005D7065" w:rsidRPr="009E0336">
              <w:rPr>
                <w:rFonts w:ascii="Times New Roman" w:hAnsi="Times New Roman" w:cs="Times New Roman"/>
                <w:iCs/>
                <w:sz w:val="20"/>
                <w:szCs w:val="20"/>
              </w:rPr>
              <w:t xml:space="preserve">planirani prihodi su veći za </w:t>
            </w:r>
            <w:r w:rsidR="001D78E0" w:rsidRPr="009E0336">
              <w:rPr>
                <w:rFonts w:ascii="Times New Roman" w:hAnsi="Times New Roman" w:cs="Times New Roman"/>
                <w:iCs/>
                <w:sz w:val="20"/>
                <w:szCs w:val="20"/>
              </w:rPr>
              <w:t xml:space="preserve">2,9 </w:t>
            </w:r>
            <w:r w:rsidR="005D7065" w:rsidRPr="009E0336">
              <w:rPr>
                <w:rFonts w:ascii="Times New Roman" w:hAnsi="Times New Roman" w:cs="Times New Roman"/>
                <w:iCs/>
                <w:sz w:val="20"/>
                <w:szCs w:val="20"/>
              </w:rPr>
              <w:t>% u odnosu na 202</w:t>
            </w:r>
            <w:r w:rsidR="001D78E0" w:rsidRPr="009E0336">
              <w:rPr>
                <w:rFonts w:ascii="Times New Roman" w:hAnsi="Times New Roman" w:cs="Times New Roman"/>
                <w:iCs/>
                <w:sz w:val="20"/>
                <w:szCs w:val="20"/>
              </w:rPr>
              <w:t>6</w:t>
            </w:r>
            <w:r w:rsidR="005D7065" w:rsidRPr="009E0336">
              <w:rPr>
                <w:rFonts w:ascii="Times New Roman" w:hAnsi="Times New Roman" w:cs="Times New Roman"/>
                <w:iCs/>
                <w:sz w:val="20"/>
                <w:szCs w:val="20"/>
              </w:rPr>
              <w:t xml:space="preserve">.g. te se uravnoteženo prihodima planiraju rashodi za </w:t>
            </w:r>
            <w:r w:rsidRPr="009E0336">
              <w:rPr>
                <w:rFonts w:ascii="Times New Roman" w:hAnsi="Times New Roman" w:cs="Times New Roman"/>
                <w:iCs/>
                <w:sz w:val="20"/>
                <w:szCs w:val="20"/>
              </w:rPr>
              <w:t xml:space="preserve">zaposlene u iznosu od </w:t>
            </w:r>
            <w:r w:rsidR="001D78E0" w:rsidRPr="009E0336">
              <w:rPr>
                <w:rFonts w:ascii="Times New Roman" w:hAnsi="Times New Roman" w:cs="Times New Roman"/>
                <w:iCs/>
                <w:sz w:val="20"/>
                <w:szCs w:val="20"/>
              </w:rPr>
              <w:t>656</w:t>
            </w:r>
            <w:r w:rsidR="00787DD7" w:rsidRPr="009E0336">
              <w:rPr>
                <w:rFonts w:ascii="Times New Roman" w:hAnsi="Times New Roman" w:cs="Times New Roman"/>
                <w:iCs/>
                <w:sz w:val="20"/>
                <w:szCs w:val="20"/>
              </w:rPr>
              <w:t>.</w:t>
            </w:r>
            <w:r w:rsidR="001D78E0" w:rsidRPr="009E0336">
              <w:rPr>
                <w:rFonts w:ascii="Times New Roman" w:hAnsi="Times New Roman" w:cs="Times New Roman"/>
                <w:iCs/>
                <w:sz w:val="20"/>
                <w:szCs w:val="20"/>
              </w:rPr>
              <w:t>0</w:t>
            </w:r>
            <w:r w:rsidR="00787DD7" w:rsidRPr="009E0336">
              <w:rPr>
                <w:rFonts w:ascii="Times New Roman" w:hAnsi="Times New Roman" w:cs="Times New Roman"/>
                <w:iCs/>
                <w:sz w:val="20"/>
                <w:szCs w:val="20"/>
              </w:rPr>
              <w:t>00,00</w:t>
            </w:r>
            <w:r w:rsidRPr="009E0336">
              <w:rPr>
                <w:rFonts w:ascii="Times New Roman" w:hAnsi="Times New Roman" w:cs="Times New Roman"/>
                <w:iCs/>
                <w:sz w:val="20"/>
                <w:szCs w:val="20"/>
              </w:rPr>
              <w:t xml:space="preserve"> </w:t>
            </w:r>
            <w:r w:rsidRPr="009E0336">
              <w:rPr>
                <w:rFonts w:ascii="Times New Roman" w:eastAsia="Times New Roman" w:hAnsi="Times New Roman" w:cs="Times New Roman"/>
                <w:bCs/>
                <w:kern w:val="0"/>
                <w:sz w:val="20"/>
                <w:szCs w:val="20"/>
                <w:lang w:eastAsia="ar-SA"/>
              </w:rPr>
              <w:t xml:space="preserve">€ (veći su </w:t>
            </w:r>
            <w:r w:rsidRPr="009E0336">
              <w:rPr>
                <w:rFonts w:ascii="Times New Roman" w:hAnsi="Times New Roman" w:cs="Times New Roman"/>
                <w:iCs/>
                <w:sz w:val="20"/>
                <w:szCs w:val="20"/>
              </w:rPr>
              <w:t xml:space="preserve">za </w:t>
            </w:r>
            <w:r w:rsidR="001D78E0" w:rsidRPr="009E0336">
              <w:rPr>
                <w:rFonts w:ascii="Times New Roman" w:hAnsi="Times New Roman" w:cs="Times New Roman"/>
                <w:iCs/>
                <w:sz w:val="20"/>
                <w:szCs w:val="20"/>
              </w:rPr>
              <w:t>2,7</w:t>
            </w:r>
            <w:r w:rsidRPr="009E0336">
              <w:rPr>
                <w:rFonts w:ascii="Times New Roman" w:hAnsi="Times New Roman" w:cs="Times New Roman"/>
                <w:iCs/>
                <w:sz w:val="20"/>
                <w:szCs w:val="20"/>
              </w:rPr>
              <w:t xml:space="preserve"> % u odnosu na 202</w:t>
            </w:r>
            <w:r w:rsidR="001D78E0" w:rsidRPr="009E0336">
              <w:rPr>
                <w:rFonts w:ascii="Times New Roman" w:hAnsi="Times New Roman" w:cs="Times New Roman"/>
                <w:iCs/>
                <w:sz w:val="20"/>
                <w:szCs w:val="20"/>
              </w:rPr>
              <w:t>6</w:t>
            </w:r>
            <w:r w:rsidRPr="009E0336">
              <w:rPr>
                <w:rFonts w:ascii="Times New Roman" w:hAnsi="Times New Roman" w:cs="Times New Roman"/>
                <w:iCs/>
                <w:sz w:val="20"/>
                <w:szCs w:val="20"/>
              </w:rPr>
              <w:t xml:space="preserve">.g.) </w:t>
            </w:r>
            <w:r w:rsidR="005D7065" w:rsidRPr="009E0336">
              <w:rPr>
                <w:rFonts w:ascii="Times New Roman" w:hAnsi="Times New Roman" w:cs="Times New Roman"/>
                <w:iCs/>
                <w:sz w:val="20"/>
                <w:szCs w:val="20"/>
              </w:rPr>
              <w:t>i materijal</w:t>
            </w:r>
            <w:r w:rsidRPr="009E0336">
              <w:rPr>
                <w:rFonts w:ascii="Times New Roman" w:hAnsi="Times New Roman" w:cs="Times New Roman"/>
                <w:iCs/>
                <w:sz w:val="20"/>
                <w:szCs w:val="20"/>
              </w:rPr>
              <w:t xml:space="preserve">ni rashodi u iznosu od </w:t>
            </w:r>
            <w:r w:rsidR="001D78E0" w:rsidRPr="009E0336">
              <w:rPr>
                <w:rFonts w:ascii="Times New Roman" w:hAnsi="Times New Roman" w:cs="Times New Roman"/>
                <w:iCs/>
                <w:sz w:val="20"/>
                <w:szCs w:val="20"/>
              </w:rPr>
              <w:t>21</w:t>
            </w:r>
            <w:r w:rsidR="00787DD7" w:rsidRPr="009E0336">
              <w:rPr>
                <w:rFonts w:ascii="Times New Roman" w:hAnsi="Times New Roman" w:cs="Times New Roman"/>
                <w:iCs/>
                <w:sz w:val="20"/>
                <w:szCs w:val="20"/>
              </w:rPr>
              <w:t>.000,00</w:t>
            </w:r>
            <w:r w:rsidRPr="009E0336">
              <w:rPr>
                <w:rFonts w:ascii="Times New Roman" w:hAnsi="Times New Roman" w:cs="Times New Roman"/>
                <w:iCs/>
                <w:sz w:val="20"/>
                <w:szCs w:val="20"/>
              </w:rPr>
              <w:t xml:space="preserve">  </w:t>
            </w:r>
            <w:r w:rsidRPr="009E0336">
              <w:rPr>
                <w:rFonts w:ascii="Times New Roman" w:eastAsia="Times New Roman" w:hAnsi="Times New Roman" w:cs="Times New Roman"/>
                <w:bCs/>
                <w:kern w:val="0"/>
                <w:sz w:val="20"/>
                <w:szCs w:val="20"/>
                <w:lang w:eastAsia="ar-SA"/>
              </w:rPr>
              <w:t>€</w:t>
            </w:r>
            <w:r w:rsidR="001D78E0" w:rsidRPr="009E0336">
              <w:rPr>
                <w:rFonts w:ascii="Times New Roman" w:eastAsia="Times New Roman" w:hAnsi="Times New Roman" w:cs="Times New Roman"/>
                <w:bCs/>
                <w:kern w:val="0"/>
                <w:sz w:val="20"/>
                <w:szCs w:val="20"/>
                <w:lang w:eastAsia="ar-SA"/>
              </w:rPr>
              <w:t xml:space="preserve"> (veći su za 10,5% u odnosu na prethodnu godinu).</w:t>
            </w:r>
            <w:r w:rsidRPr="009E0336">
              <w:rPr>
                <w:rFonts w:ascii="Times New Roman" w:eastAsia="Times New Roman" w:hAnsi="Times New Roman" w:cs="Times New Roman"/>
                <w:bCs/>
                <w:kern w:val="0"/>
                <w:sz w:val="20"/>
                <w:szCs w:val="20"/>
                <w:lang w:eastAsia="ar-SA"/>
              </w:rPr>
              <w:t xml:space="preserve"> </w:t>
            </w:r>
          </w:p>
        </w:tc>
      </w:tr>
      <w:tr w:rsidR="0074131A" w:rsidRPr="009E0336" w14:paraId="06BAB491" w14:textId="77777777" w:rsidTr="00702A1E">
        <w:trPr>
          <w:trHeight w:val="257"/>
        </w:trPr>
        <w:tc>
          <w:tcPr>
            <w:tcW w:w="945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tbl>
            <w:tblPr>
              <w:tblW w:w="9209" w:type="dxa"/>
              <w:tblLayout w:type="fixed"/>
              <w:tblCellMar>
                <w:left w:w="10" w:type="dxa"/>
                <w:right w:w="10" w:type="dxa"/>
              </w:tblCellMar>
              <w:tblLook w:val="04A0" w:firstRow="1" w:lastRow="0" w:firstColumn="1" w:lastColumn="0" w:noHBand="0" w:noVBand="1"/>
            </w:tblPr>
            <w:tblGrid>
              <w:gridCol w:w="1580"/>
              <w:gridCol w:w="1378"/>
              <w:gridCol w:w="1492"/>
              <w:gridCol w:w="1492"/>
              <w:gridCol w:w="1566"/>
              <w:gridCol w:w="1701"/>
            </w:tblGrid>
            <w:tr w:rsidR="002113AC" w:rsidRPr="009E0336" w14:paraId="7E4CF4C3" w14:textId="77777777">
              <w:trPr>
                <w:trHeight w:val="219"/>
              </w:trPr>
              <w:tc>
                <w:tcPr>
                  <w:tcW w:w="158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E76A68F" w14:textId="49B56475" w:rsidR="002113AC" w:rsidRPr="009E0336" w:rsidRDefault="002113AC" w:rsidP="002113AC">
                  <w:pPr>
                    <w:widowControl/>
                    <w:spacing w:after="0" w:line="240" w:lineRule="auto"/>
                    <w:jc w:val="center"/>
                    <w:textAlignment w:val="baseline"/>
                    <w:rPr>
                      <w:rFonts w:ascii="Times New Roman" w:hAnsi="Times New Roman" w:cs="Times New Roman"/>
                      <w:sz w:val="20"/>
                      <w:szCs w:val="20"/>
                    </w:rPr>
                  </w:pPr>
                  <w:r w:rsidRPr="009E0336">
                    <w:rPr>
                      <w:rFonts w:ascii="Times New Roman" w:hAnsi="Times New Roman" w:cs="Times New Roman"/>
                      <w:b/>
                      <w:bCs/>
                      <w:color w:val="000000"/>
                      <w:sz w:val="20"/>
                      <w:szCs w:val="20"/>
                    </w:rPr>
                    <w:t>Izvršeno 2023.</w:t>
                  </w:r>
                </w:p>
              </w:tc>
              <w:tc>
                <w:tcPr>
                  <w:tcW w:w="1378"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8E0BBA0" w14:textId="5E427BE3" w:rsidR="002113AC" w:rsidRPr="009E0336" w:rsidRDefault="002113AC" w:rsidP="002113AC">
                  <w:pPr>
                    <w:widowControl/>
                    <w:spacing w:after="0" w:line="240" w:lineRule="auto"/>
                    <w:jc w:val="center"/>
                    <w:textAlignment w:val="baseline"/>
                    <w:rPr>
                      <w:rFonts w:ascii="Times New Roman" w:hAnsi="Times New Roman" w:cs="Times New Roman"/>
                      <w:sz w:val="20"/>
                      <w:szCs w:val="20"/>
                    </w:rPr>
                  </w:pPr>
                  <w:r w:rsidRPr="009E0336">
                    <w:rPr>
                      <w:rFonts w:ascii="Times New Roman" w:hAnsi="Times New Roman" w:cs="Times New Roman"/>
                      <w:b/>
                      <w:bCs/>
                      <w:color w:val="000000"/>
                      <w:sz w:val="20"/>
                      <w:szCs w:val="20"/>
                    </w:rPr>
                    <w:t>Financijski plan 2024.</w:t>
                  </w:r>
                </w:p>
              </w:tc>
              <w:tc>
                <w:tcPr>
                  <w:tcW w:w="149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408AD6BF" w14:textId="566513C2" w:rsidR="002113AC" w:rsidRPr="009E0336" w:rsidRDefault="002113AC" w:rsidP="002113AC">
                  <w:pPr>
                    <w:widowControl/>
                    <w:spacing w:after="0" w:line="240" w:lineRule="auto"/>
                    <w:jc w:val="center"/>
                    <w:textAlignment w:val="baseline"/>
                    <w:rPr>
                      <w:rFonts w:ascii="Times New Roman" w:hAnsi="Times New Roman" w:cs="Times New Roman"/>
                      <w:sz w:val="20"/>
                      <w:szCs w:val="20"/>
                    </w:rPr>
                  </w:pPr>
                  <w:r w:rsidRPr="009E0336">
                    <w:rPr>
                      <w:rFonts w:ascii="Times New Roman" w:hAnsi="Times New Roman" w:cs="Times New Roman"/>
                      <w:b/>
                      <w:bCs/>
                      <w:color w:val="000000"/>
                      <w:sz w:val="20"/>
                      <w:szCs w:val="20"/>
                    </w:rPr>
                    <w:t>I. Rebalans 2024.</w:t>
                  </w:r>
                </w:p>
              </w:tc>
              <w:tc>
                <w:tcPr>
                  <w:tcW w:w="149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295D2D43" w14:textId="3411F8C3" w:rsidR="002113AC" w:rsidRPr="009E0336" w:rsidRDefault="002113AC" w:rsidP="002113AC">
                  <w:pPr>
                    <w:widowControl/>
                    <w:spacing w:after="0" w:line="240" w:lineRule="auto"/>
                    <w:jc w:val="center"/>
                    <w:textAlignment w:val="baseline"/>
                    <w:rPr>
                      <w:rFonts w:ascii="Times New Roman" w:hAnsi="Times New Roman" w:cs="Times New Roman"/>
                      <w:sz w:val="20"/>
                      <w:szCs w:val="20"/>
                    </w:rPr>
                  </w:pPr>
                  <w:r w:rsidRPr="009E0336">
                    <w:rPr>
                      <w:rFonts w:ascii="Times New Roman" w:hAnsi="Times New Roman" w:cs="Times New Roman"/>
                      <w:b/>
                      <w:bCs/>
                      <w:color w:val="000000"/>
                      <w:sz w:val="20"/>
                      <w:szCs w:val="20"/>
                    </w:rPr>
                    <w:t>Plan 2025.</w:t>
                  </w:r>
                </w:p>
              </w:tc>
              <w:tc>
                <w:tcPr>
                  <w:tcW w:w="1566"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769E2EF1" w14:textId="6401E165" w:rsidR="002113AC" w:rsidRPr="009E0336" w:rsidRDefault="002113AC" w:rsidP="002113AC">
                  <w:pPr>
                    <w:widowControl/>
                    <w:spacing w:after="0" w:line="240" w:lineRule="auto"/>
                    <w:jc w:val="center"/>
                    <w:textAlignment w:val="baseline"/>
                    <w:rPr>
                      <w:rFonts w:ascii="Times New Roman" w:hAnsi="Times New Roman" w:cs="Times New Roman"/>
                      <w:sz w:val="20"/>
                      <w:szCs w:val="20"/>
                    </w:rPr>
                  </w:pPr>
                  <w:r w:rsidRPr="009E0336">
                    <w:rPr>
                      <w:rFonts w:ascii="Times New Roman" w:hAnsi="Times New Roman" w:cs="Times New Roman"/>
                      <w:b/>
                      <w:bCs/>
                      <w:color w:val="000000"/>
                      <w:sz w:val="20"/>
                      <w:szCs w:val="20"/>
                    </w:rPr>
                    <w:t>Projekcija 2026.</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2D7BB7F5" w14:textId="6358C76E" w:rsidR="002113AC" w:rsidRPr="009E0336" w:rsidRDefault="002113AC" w:rsidP="002113AC">
                  <w:pPr>
                    <w:widowControl/>
                    <w:spacing w:after="0" w:line="240" w:lineRule="auto"/>
                    <w:jc w:val="center"/>
                    <w:textAlignment w:val="baseline"/>
                    <w:rPr>
                      <w:rFonts w:ascii="Times New Roman" w:hAnsi="Times New Roman" w:cs="Times New Roman"/>
                      <w:sz w:val="20"/>
                      <w:szCs w:val="20"/>
                    </w:rPr>
                  </w:pPr>
                  <w:r w:rsidRPr="009E0336">
                    <w:rPr>
                      <w:rFonts w:ascii="Times New Roman" w:hAnsi="Times New Roman" w:cs="Times New Roman"/>
                      <w:b/>
                      <w:bCs/>
                      <w:color w:val="000000"/>
                      <w:sz w:val="20"/>
                      <w:szCs w:val="20"/>
                    </w:rPr>
                    <w:t>Projekcija 2027.</w:t>
                  </w:r>
                </w:p>
              </w:tc>
            </w:tr>
            <w:tr w:rsidR="002113AC" w:rsidRPr="009E0336" w14:paraId="42DA479F" w14:textId="77777777">
              <w:trPr>
                <w:trHeight w:val="219"/>
              </w:trPr>
              <w:tc>
                <w:tcPr>
                  <w:tcW w:w="15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56D6F9" w14:textId="66E5336A" w:rsidR="002113AC" w:rsidRPr="009E0336" w:rsidRDefault="00CF143A" w:rsidP="002113AC">
                  <w:pPr>
                    <w:widowControl/>
                    <w:spacing w:after="0" w:line="240" w:lineRule="auto"/>
                    <w:jc w:val="right"/>
                    <w:textAlignment w:val="baseline"/>
                    <w:rPr>
                      <w:rFonts w:ascii="Times New Roman" w:hAnsi="Times New Roman" w:cs="Times New Roman"/>
                      <w:b/>
                      <w:bCs/>
                      <w:sz w:val="20"/>
                      <w:szCs w:val="20"/>
                    </w:rPr>
                  </w:pPr>
                  <w:r w:rsidRPr="009E0336">
                    <w:rPr>
                      <w:rFonts w:ascii="Times New Roman" w:hAnsi="Times New Roman" w:cs="Times New Roman"/>
                      <w:b/>
                      <w:bCs/>
                      <w:sz w:val="20"/>
                      <w:szCs w:val="20"/>
                    </w:rPr>
                    <w:t>656.470,00 €</w:t>
                  </w:r>
                </w:p>
              </w:tc>
              <w:tc>
                <w:tcPr>
                  <w:tcW w:w="1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81EB4B" w14:textId="1521FD05" w:rsidR="002113AC" w:rsidRPr="009E0336" w:rsidRDefault="00704F6C" w:rsidP="002113AC">
                  <w:pPr>
                    <w:widowControl/>
                    <w:spacing w:after="0" w:line="240" w:lineRule="auto"/>
                    <w:jc w:val="right"/>
                    <w:textAlignment w:val="baseline"/>
                    <w:rPr>
                      <w:rFonts w:ascii="Times New Roman" w:hAnsi="Times New Roman" w:cs="Times New Roman"/>
                      <w:b/>
                      <w:bCs/>
                      <w:sz w:val="20"/>
                      <w:szCs w:val="20"/>
                    </w:rPr>
                  </w:pPr>
                  <w:r w:rsidRPr="009E0336">
                    <w:rPr>
                      <w:rFonts w:ascii="Times New Roman" w:hAnsi="Times New Roman" w:cs="Times New Roman"/>
                      <w:b/>
                      <w:bCs/>
                      <w:sz w:val="20"/>
                      <w:szCs w:val="20"/>
                    </w:rPr>
                    <w:t>687.000,00 €</w:t>
                  </w:r>
                </w:p>
              </w:tc>
              <w:tc>
                <w:tcPr>
                  <w:tcW w:w="14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2C781B" w14:textId="6A088FC3" w:rsidR="002113AC" w:rsidRPr="009E0336" w:rsidRDefault="00704F6C" w:rsidP="002113AC">
                  <w:pPr>
                    <w:widowControl/>
                    <w:spacing w:after="0" w:line="240" w:lineRule="auto"/>
                    <w:jc w:val="right"/>
                    <w:textAlignment w:val="baseline"/>
                    <w:rPr>
                      <w:rFonts w:ascii="Times New Roman" w:hAnsi="Times New Roman" w:cs="Times New Roman"/>
                      <w:b/>
                      <w:bCs/>
                      <w:sz w:val="20"/>
                      <w:szCs w:val="20"/>
                    </w:rPr>
                  </w:pPr>
                  <w:r w:rsidRPr="009E0336">
                    <w:rPr>
                      <w:rFonts w:ascii="Times New Roman" w:hAnsi="Times New Roman" w:cs="Times New Roman"/>
                      <w:b/>
                      <w:bCs/>
                      <w:sz w:val="20"/>
                      <w:szCs w:val="20"/>
                    </w:rPr>
                    <w:t>925.069,00 €</w:t>
                  </w:r>
                </w:p>
              </w:tc>
              <w:tc>
                <w:tcPr>
                  <w:tcW w:w="14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08982C" w14:textId="4B645726" w:rsidR="002113AC" w:rsidRPr="009E0336" w:rsidRDefault="004A20AD" w:rsidP="002113AC">
                  <w:pPr>
                    <w:widowControl/>
                    <w:spacing w:after="0" w:line="240" w:lineRule="auto"/>
                    <w:jc w:val="right"/>
                    <w:textAlignment w:val="baseline"/>
                    <w:rPr>
                      <w:rFonts w:ascii="Times New Roman" w:hAnsi="Times New Roman" w:cs="Times New Roman"/>
                      <w:b/>
                      <w:bCs/>
                      <w:sz w:val="20"/>
                      <w:szCs w:val="20"/>
                    </w:rPr>
                  </w:pPr>
                  <w:r w:rsidRPr="009E0336">
                    <w:rPr>
                      <w:rFonts w:ascii="Times New Roman" w:hAnsi="Times New Roman" w:cs="Times New Roman"/>
                      <w:b/>
                      <w:bCs/>
                      <w:sz w:val="20"/>
                      <w:szCs w:val="20"/>
                    </w:rPr>
                    <w:t>632.000,00 €</w:t>
                  </w:r>
                </w:p>
              </w:tc>
              <w:tc>
                <w:tcPr>
                  <w:tcW w:w="15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C2AD32" w14:textId="24C640DE" w:rsidR="002113AC" w:rsidRPr="009E0336" w:rsidRDefault="004A20AD" w:rsidP="002113AC">
                  <w:pPr>
                    <w:widowControl/>
                    <w:spacing w:after="0" w:line="240" w:lineRule="auto"/>
                    <w:jc w:val="right"/>
                    <w:textAlignment w:val="baseline"/>
                    <w:rPr>
                      <w:rFonts w:ascii="Times New Roman" w:hAnsi="Times New Roman" w:cs="Times New Roman"/>
                      <w:b/>
                      <w:bCs/>
                      <w:sz w:val="20"/>
                      <w:szCs w:val="20"/>
                    </w:rPr>
                  </w:pPr>
                  <w:r w:rsidRPr="009E0336">
                    <w:rPr>
                      <w:rFonts w:ascii="Times New Roman" w:hAnsi="Times New Roman" w:cs="Times New Roman"/>
                      <w:b/>
                      <w:bCs/>
                      <w:sz w:val="20"/>
                      <w:szCs w:val="20"/>
                    </w:rPr>
                    <w:t>658.000,00 €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7B2F81" w14:textId="7C96B293" w:rsidR="002113AC" w:rsidRPr="009E0336" w:rsidRDefault="004A20AD" w:rsidP="002113AC">
                  <w:pPr>
                    <w:widowControl/>
                    <w:spacing w:after="0" w:line="240" w:lineRule="auto"/>
                    <w:jc w:val="right"/>
                    <w:textAlignment w:val="baseline"/>
                    <w:rPr>
                      <w:rFonts w:ascii="Times New Roman" w:hAnsi="Times New Roman" w:cs="Times New Roman"/>
                      <w:b/>
                      <w:bCs/>
                      <w:sz w:val="20"/>
                      <w:szCs w:val="20"/>
                    </w:rPr>
                  </w:pPr>
                  <w:r w:rsidRPr="009E0336">
                    <w:rPr>
                      <w:rFonts w:ascii="Times New Roman" w:hAnsi="Times New Roman" w:cs="Times New Roman"/>
                      <w:b/>
                      <w:bCs/>
                      <w:sz w:val="20"/>
                      <w:szCs w:val="20"/>
                    </w:rPr>
                    <w:t>677.000,00 €</w:t>
                  </w:r>
                </w:p>
              </w:tc>
            </w:tr>
          </w:tbl>
          <w:p w14:paraId="4AFA7DD8" w14:textId="77777777" w:rsidR="0074131A" w:rsidRPr="009E0336" w:rsidRDefault="0074131A" w:rsidP="0074131A">
            <w:pPr>
              <w:widowControl/>
              <w:spacing w:after="0" w:line="240" w:lineRule="auto"/>
              <w:textAlignment w:val="baseline"/>
              <w:rPr>
                <w:rFonts w:ascii="Times New Roman" w:eastAsia="Times New Roman" w:hAnsi="Times New Roman" w:cs="Times New Roman"/>
                <w:bCs/>
                <w:color w:val="000000"/>
                <w:sz w:val="20"/>
                <w:szCs w:val="20"/>
                <w:lang w:eastAsia="hr-HR"/>
              </w:rPr>
            </w:pPr>
          </w:p>
        </w:tc>
      </w:tr>
      <w:tr w:rsidR="00F815A1" w:rsidRPr="009E0336" w14:paraId="1670FF08" w14:textId="77777777" w:rsidTr="00702A1E">
        <w:trPr>
          <w:trHeight w:val="257"/>
        </w:trPr>
        <w:tc>
          <w:tcPr>
            <w:tcW w:w="1169"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3ADE422" w14:textId="73152019" w:rsidR="00F815A1" w:rsidRPr="009E0336" w:rsidRDefault="00F815A1" w:rsidP="00F815A1">
            <w:pPr>
              <w:widowControl/>
              <w:spacing w:after="0" w:line="240" w:lineRule="auto"/>
              <w:textAlignment w:val="baseline"/>
              <w:rPr>
                <w:rFonts w:ascii="Times New Roman" w:hAnsi="Times New Roman" w:cs="Times New Roman"/>
                <w:sz w:val="20"/>
                <w:szCs w:val="20"/>
              </w:rPr>
            </w:pPr>
            <w:r w:rsidRPr="009E0336">
              <w:rPr>
                <w:rFonts w:ascii="Times New Roman" w:hAnsi="Times New Roman" w:cs="Times New Roman"/>
                <w:b/>
                <w:color w:val="000000"/>
                <w:sz w:val="20"/>
                <w:szCs w:val="20"/>
              </w:rPr>
              <w:t>Obrazloženja odstupanja od projekcija za 2025. i 2026. usvojenih u prošlogodišnjem Proračunu</w:t>
            </w:r>
          </w:p>
        </w:tc>
        <w:tc>
          <w:tcPr>
            <w:tcW w:w="8287" w:type="dxa"/>
            <w:gridSpan w:val="9"/>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15D4CE" w14:textId="77777777" w:rsidR="00F815A1" w:rsidRPr="009E0336" w:rsidRDefault="00F815A1" w:rsidP="00F815A1">
            <w:pPr>
              <w:widowControl/>
              <w:spacing w:after="0" w:line="240" w:lineRule="auto"/>
              <w:textAlignment w:val="baseline"/>
              <w:rPr>
                <w:rFonts w:ascii="Times New Roman" w:eastAsia="Times New Roman" w:hAnsi="Times New Roman" w:cs="Times New Roman"/>
                <w:i/>
                <w:color w:val="FF0000"/>
                <w:sz w:val="20"/>
                <w:szCs w:val="20"/>
                <w:lang w:eastAsia="hr-HR"/>
              </w:rPr>
            </w:pPr>
          </w:p>
          <w:p w14:paraId="57157B09" w14:textId="77777777" w:rsidR="00F815A1" w:rsidRPr="009E0336" w:rsidRDefault="00F815A1" w:rsidP="00F815A1">
            <w:pPr>
              <w:widowControl/>
              <w:snapToGrid w:val="0"/>
              <w:spacing w:after="0" w:line="240" w:lineRule="auto"/>
              <w:jc w:val="both"/>
              <w:rPr>
                <w:rFonts w:ascii="Times New Roman" w:hAnsi="Times New Roman" w:cs="Times New Roman"/>
                <w:bCs/>
                <w:color w:val="000000"/>
                <w:sz w:val="20"/>
                <w:szCs w:val="20"/>
              </w:rPr>
            </w:pPr>
          </w:p>
          <w:p w14:paraId="59DE2F64" w14:textId="2EF0B60E" w:rsidR="001D78E0" w:rsidRPr="009E0336" w:rsidRDefault="00F815A1" w:rsidP="00F815A1">
            <w:pPr>
              <w:widowControl/>
              <w:snapToGrid w:val="0"/>
              <w:spacing w:after="0" w:line="240" w:lineRule="auto"/>
              <w:jc w:val="both"/>
              <w:rPr>
                <w:rFonts w:ascii="Times New Roman" w:hAnsi="Times New Roman" w:cs="Times New Roman"/>
                <w:bCs/>
                <w:color w:val="000000"/>
                <w:sz w:val="20"/>
                <w:szCs w:val="20"/>
              </w:rPr>
            </w:pPr>
            <w:r w:rsidRPr="009E0336">
              <w:rPr>
                <w:rFonts w:ascii="Times New Roman" w:hAnsi="Times New Roman" w:cs="Times New Roman"/>
                <w:bCs/>
                <w:color w:val="000000"/>
                <w:sz w:val="20"/>
                <w:szCs w:val="20"/>
              </w:rPr>
              <w:t xml:space="preserve">U odnosu na prošlogodišnje projekcije ova aktivnost je </w:t>
            </w:r>
            <w:r w:rsidR="001D78E0" w:rsidRPr="009E0336">
              <w:rPr>
                <w:rFonts w:ascii="Times New Roman" w:hAnsi="Times New Roman" w:cs="Times New Roman"/>
                <w:bCs/>
                <w:color w:val="000000"/>
                <w:sz w:val="20"/>
                <w:szCs w:val="20"/>
              </w:rPr>
              <w:t xml:space="preserve">manja </w:t>
            </w:r>
            <w:r w:rsidRPr="009E0336">
              <w:rPr>
                <w:rFonts w:ascii="Times New Roman" w:hAnsi="Times New Roman" w:cs="Times New Roman"/>
                <w:bCs/>
                <w:color w:val="000000"/>
                <w:sz w:val="20"/>
                <w:szCs w:val="20"/>
              </w:rPr>
              <w:t xml:space="preserve">za </w:t>
            </w:r>
            <w:r w:rsidR="001D78E0" w:rsidRPr="009E0336">
              <w:rPr>
                <w:rFonts w:ascii="Times New Roman" w:hAnsi="Times New Roman" w:cs="Times New Roman"/>
                <w:bCs/>
                <w:color w:val="000000"/>
                <w:sz w:val="20"/>
                <w:szCs w:val="20"/>
              </w:rPr>
              <w:t>12,7</w:t>
            </w:r>
            <w:r w:rsidRPr="009E0336">
              <w:rPr>
                <w:rFonts w:ascii="Times New Roman" w:hAnsi="Times New Roman" w:cs="Times New Roman"/>
                <w:bCs/>
                <w:color w:val="000000"/>
                <w:sz w:val="20"/>
                <w:szCs w:val="20"/>
              </w:rPr>
              <w:t xml:space="preserve"> % u 202</w:t>
            </w:r>
            <w:r w:rsidR="001D78E0" w:rsidRPr="009E0336">
              <w:rPr>
                <w:rFonts w:ascii="Times New Roman" w:hAnsi="Times New Roman" w:cs="Times New Roman"/>
                <w:bCs/>
                <w:color w:val="000000"/>
                <w:sz w:val="20"/>
                <w:szCs w:val="20"/>
              </w:rPr>
              <w:t>5</w:t>
            </w:r>
            <w:r w:rsidRPr="009E0336">
              <w:rPr>
                <w:rFonts w:ascii="Times New Roman" w:hAnsi="Times New Roman" w:cs="Times New Roman"/>
                <w:bCs/>
                <w:color w:val="000000"/>
                <w:sz w:val="20"/>
                <w:szCs w:val="20"/>
              </w:rPr>
              <w:t xml:space="preserve">.g. i za </w:t>
            </w:r>
            <w:r w:rsidR="001D78E0" w:rsidRPr="009E0336">
              <w:rPr>
                <w:rFonts w:ascii="Times New Roman" w:hAnsi="Times New Roman" w:cs="Times New Roman"/>
                <w:bCs/>
                <w:color w:val="000000"/>
                <w:sz w:val="20"/>
                <w:szCs w:val="20"/>
              </w:rPr>
              <w:t>13,7</w:t>
            </w:r>
            <w:r w:rsidRPr="009E0336">
              <w:rPr>
                <w:rFonts w:ascii="Times New Roman" w:hAnsi="Times New Roman" w:cs="Times New Roman"/>
                <w:bCs/>
                <w:color w:val="000000"/>
                <w:sz w:val="20"/>
                <w:szCs w:val="20"/>
              </w:rPr>
              <w:t xml:space="preserve"> % u 202</w:t>
            </w:r>
            <w:r w:rsidR="001D78E0" w:rsidRPr="009E0336">
              <w:rPr>
                <w:rFonts w:ascii="Times New Roman" w:hAnsi="Times New Roman" w:cs="Times New Roman"/>
                <w:bCs/>
                <w:color w:val="000000"/>
                <w:sz w:val="20"/>
                <w:szCs w:val="20"/>
              </w:rPr>
              <w:t>6</w:t>
            </w:r>
            <w:r w:rsidRPr="009E0336">
              <w:rPr>
                <w:rFonts w:ascii="Times New Roman" w:hAnsi="Times New Roman" w:cs="Times New Roman"/>
                <w:bCs/>
                <w:color w:val="000000"/>
                <w:sz w:val="20"/>
                <w:szCs w:val="20"/>
              </w:rPr>
              <w:t xml:space="preserve">.g. Razlog navedenog </w:t>
            </w:r>
            <w:r w:rsidR="001D78E0" w:rsidRPr="009E0336">
              <w:rPr>
                <w:rFonts w:ascii="Times New Roman" w:hAnsi="Times New Roman" w:cs="Times New Roman"/>
                <w:bCs/>
                <w:color w:val="000000"/>
                <w:sz w:val="20"/>
                <w:szCs w:val="20"/>
              </w:rPr>
              <w:t xml:space="preserve">smanjenja </w:t>
            </w:r>
            <w:r w:rsidRPr="009E0336">
              <w:rPr>
                <w:rFonts w:ascii="Times New Roman" w:hAnsi="Times New Roman" w:cs="Times New Roman"/>
                <w:bCs/>
                <w:color w:val="000000"/>
                <w:sz w:val="20"/>
                <w:szCs w:val="20"/>
              </w:rPr>
              <w:t xml:space="preserve">je u </w:t>
            </w:r>
            <w:r w:rsidR="001D78E0" w:rsidRPr="009E0336">
              <w:rPr>
                <w:rFonts w:ascii="Times New Roman" w:hAnsi="Times New Roman" w:cs="Times New Roman"/>
                <w:bCs/>
                <w:color w:val="000000"/>
                <w:sz w:val="20"/>
                <w:szCs w:val="20"/>
              </w:rPr>
              <w:t>većem programu rada prema novoj Mreži hitne medicine i sanitetskog prijevoza zbog čega nema više potrebe ustrojavanja dodatnih timova tijekom turističke sezone (tim T2 u Makarskoj i dodatni doktor u Hvaru), a što je bilo planirano u prošlogodišnjim projekcijama.</w:t>
            </w:r>
          </w:p>
          <w:p w14:paraId="42A63F6D" w14:textId="77777777" w:rsidR="001D78E0" w:rsidRPr="009E0336" w:rsidRDefault="001D78E0" w:rsidP="00F815A1">
            <w:pPr>
              <w:widowControl/>
              <w:snapToGrid w:val="0"/>
              <w:spacing w:after="0" w:line="240" w:lineRule="auto"/>
              <w:jc w:val="both"/>
              <w:rPr>
                <w:rFonts w:ascii="Times New Roman" w:hAnsi="Times New Roman" w:cs="Times New Roman"/>
                <w:bCs/>
                <w:color w:val="000000"/>
                <w:sz w:val="20"/>
                <w:szCs w:val="20"/>
              </w:rPr>
            </w:pPr>
          </w:p>
          <w:p w14:paraId="5BFB6183" w14:textId="77777777" w:rsidR="001D78E0" w:rsidRPr="009E0336" w:rsidRDefault="001D78E0" w:rsidP="00F815A1">
            <w:pPr>
              <w:widowControl/>
              <w:snapToGrid w:val="0"/>
              <w:spacing w:after="0" w:line="240" w:lineRule="auto"/>
              <w:jc w:val="both"/>
              <w:rPr>
                <w:rFonts w:ascii="Times New Roman" w:hAnsi="Times New Roman" w:cs="Times New Roman"/>
                <w:bCs/>
                <w:color w:val="000000"/>
                <w:sz w:val="20"/>
                <w:szCs w:val="20"/>
              </w:rPr>
            </w:pPr>
          </w:p>
          <w:p w14:paraId="3D919E41" w14:textId="468196AA" w:rsidR="00F815A1" w:rsidRPr="009E0336" w:rsidRDefault="00F815A1" w:rsidP="00F815A1">
            <w:pPr>
              <w:widowControl/>
              <w:snapToGrid w:val="0"/>
              <w:spacing w:after="0" w:line="240" w:lineRule="auto"/>
              <w:jc w:val="both"/>
              <w:rPr>
                <w:rFonts w:ascii="Times New Roman" w:hAnsi="Times New Roman" w:cs="Times New Roman"/>
                <w:sz w:val="20"/>
                <w:szCs w:val="20"/>
              </w:rPr>
            </w:pPr>
          </w:p>
        </w:tc>
      </w:tr>
      <w:tr w:rsidR="00F815A1" w:rsidRPr="009E0336" w14:paraId="6003DD48" w14:textId="77777777" w:rsidTr="00FB1800">
        <w:trPr>
          <w:trHeight w:val="651"/>
        </w:trPr>
        <w:tc>
          <w:tcPr>
            <w:tcW w:w="1238" w:type="dxa"/>
            <w:gridSpan w:val="2"/>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4AB4ACDE" w14:textId="77777777" w:rsidR="00F815A1" w:rsidRPr="009E0336" w:rsidRDefault="00F815A1" w:rsidP="00F815A1">
            <w:pPr>
              <w:widowControl/>
              <w:spacing w:after="0" w:line="240" w:lineRule="auto"/>
              <w:textAlignment w:val="baseline"/>
              <w:rPr>
                <w:rFonts w:ascii="Times New Roman" w:hAnsi="Times New Roman" w:cs="Times New Roman"/>
                <w:sz w:val="20"/>
                <w:szCs w:val="20"/>
              </w:rPr>
            </w:pPr>
            <w:r w:rsidRPr="009E0336">
              <w:rPr>
                <w:rFonts w:ascii="Times New Roman" w:eastAsia="Times New Roman" w:hAnsi="Times New Roman" w:cs="Times New Roman"/>
                <w:b/>
                <w:sz w:val="20"/>
                <w:szCs w:val="20"/>
                <w:lang w:eastAsia="hr-HR"/>
              </w:rPr>
              <w:t>Pokazatelj rezultata</w:t>
            </w:r>
          </w:p>
        </w:tc>
        <w:tc>
          <w:tcPr>
            <w:tcW w:w="1842"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1058AC66" w14:textId="77777777" w:rsidR="00F815A1" w:rsidRPr="009E0336" w:rsidRDefault="00F815A1" w:rsidP="00F815A1">
            <w:pPr>
              <w:widowControl/>
              <w:spacing w:after="0" w:line="240" w:lineRule="auto"/>
              <w:jc w:val="center"/>
              <w:textAlignment w:val="baseline"/>
              <w:rPr>
                <w:rFonts w:ascii="Times New Roman" w:hAnsi="Times New Roman" w:cs="Times New Roman"/>
                <w:sz w:val="20"/>
                <w:szCs w:val="20"/>
              </w:rPr>
            </w:pPr>
            <w:r w:rsidRPr="009E0336">
              <w:rPr>
                <w:rFonts w:ascii="Times New Roman" w:eastAsia="Times New Roman" w:hAnsi="Times New Roman" w:cs="Times New Roman"/>
                <w:b/>
                <w:sz w:val="20"/>
                <w:szCs w:val="20"/>
                <w:lang w:eastAsia="hr-HR"/>
              </w:rPr>
              <w:t>Definicija</w:t>
            </w:r>
          </w:p>
        </w:tc>
        <w:tc>
          <w:tcPr>
            <w:tcW w:w="709"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34DA802D" w14:textId="77777777" w:rsidR="00F815A1" w:rsidRPr="009E0336" w:rsidRDefault="00F815A1" w:rsidP="00F815A1">
            <w:pPr>
              <w:widowControl/>
              <w:spacing w:after="0" w:line="240" w:lineRule="auto"/>
              <w:jc w:val="center"/>
              <w:textAlignment w:val="baseline"/>
              <w:rPr>
                <w:rFonts w:ascii="Times New Roman" w:hAnsi="Times New Roman" w:cs="Times New Roman"/>
                <w:sz w:val="20"/>
                <w:szCs w:val="20"/>
              </w:rPr>
            </w:pPr>
            <w:r w:rsidRPr="009E0336">
              <w:rPr>
                <w:rFonts w:ascii="Times New Roman" w:eastAsia="Times New Roman" w:hAnsi="Times New Roman" w:cs="Times New Roman"/>
                <w:b/>
                <w:sz w:val="20"/>
                <w:szCs w:val="20"/>
                <w:lang w:eastAsia="hr-HR"/>
              </w:rPr>
              <w:t>Jedinica</w:t>
            </w:r>
          </w:p>
        </w:tc>
        <w:tc>
          <w:tcPr>
            <w:tcW w:w="992"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3D73FDE3" w14:textId="581D52A6" w:rsidR="00F815A1" w:rsidRPr="009E0336" w:rsidRDefault="00F815A1" w:rsidP="00F815A1">
            <w:pPr>
              <w:widowControl/>
              <w:spacing w:after="0" w:line="240" w:lineRule="auto"/>
              <w:jc w:val="center"/>
              <w:textAlignment w:val="baseline"/>
              <w:rPr>
                <w:rFonts w:ascii="Times New Roman" w:hAnsi="Times New Roman" w:cs="Times New Roman"/>
                <w:sz w:val="20"/>
                <w:szCs w:val="20"/>
              </w:rPr>
            </w:pPr>
            <w:r w:rsidRPr="009E0336">
              <w:rPr>
                <w:rFonts w:ascii="Times New Roman" w:eastAsia="Times New Roman" w:hAnsi="Times New Roman" w:cs="Times New Roman"/>
                <w:b/>
                <w:sz w:val="20"/>
                <w:szCs w:val="20"/>
                <w:lang w:eastAsia="hr-HR"/>
              </w:rPr>
              <w:t>Polazna vrijednost 202</w:t>
            </w:r>
            <w:r w:rsidR="007077C9" w:rsidRPr="009E0336">
              <w:rPr>
                <w:rFonts w:ascii="Times New Roman" w:eastAsia="Times New Roman" w:hAnsi="Times New Roman" w:cs="Times New Roman"/>
                <w:b/>
                <w:sz w:val="20"/>
                <w:szCs w:val="20"/>
                <w:lang w:eastAsia="hr-HR"/>
              </w:rPr>
              <w:t>4</w:t>
            </w:r>
            <w:r w:rsidRPr="009E0336">
              <w:rPr>
                <w:rFonts w:ascii="Times New Roman" w:eastAsia="Times New Roman" w:hAnsi="Times New Roman" w:cs="Times New Roman"/>
                <w:b/>
                <w:sz w:val="20"/>
                <w:szCs w:val="20"/>
                <w:lang w:eastAsia="hr-HR"/>
              </w:rPr>
              <w:t>.</w:t>
            </w:r>
          </w:p>
        </w:tc>
        <w:tc>
          <w:tcPr>
            <w:tcW w:w="1134"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25DFC881" w14:textId="77777777" w:rsidR="00F815A1" w:rsidRPr="009E0336" w:rsidRDefault="00F815A1" w:rsidP="00F815A1">
            <w:pPr>
              <w:widowControl/>
              <w:spacing w:after="0" w:line="240" w:lineRule="auto"/>
              <w:jc w:val="center"/>
              <w:textAlignment w:val="baseline"/>
              <w:rPr>
                <w:rFonts w:ascii="Times New Roman" w:hAnsi="Times New Roman" w:cs="Times New Roman"/>
                <w:sz w:val="20"/>
                <w:szCs w:val="20"/>
              </w:rPr>
            </w:pPr>
            <w:r w:rsidRPr="009E0336">
              <w:rPr>
                <w:rFonts w:ascii="Times New Roman" w:eastAsia="Times New Roman" w:hAnsi="Times New Roman" w:cs="Times New Roman"/>
                <w:b/>
                <w:sz w:val="20"/>
                <w:szCs w:val="20"/>
                <w:lang w:eastAsia="hr-HR"/>
              </w:rPr>
              <w:t>Izvor podataka</w:t>
            </w:r>
          </w:p>
        </w:tc>
        <w:tc>
          <w:tcPr>
            <w:tcW w:w="1276" w:type="dxa"/>
            <w:gridSpan w:val="2"/>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151BCAF1" w14:textId="1568004E" w:rsidR="00F815A1" w:rsidRPr="009E0336" w:rsidRDefault="00F815A1" w:rsidP="00F815A1">
            <w:pPr>
              <w:widowControl/>
              <w:spacing w:after="0" w:line="240" w:lineRule="auto"/>
              <w:jc w:val="center"/>
              <w:textAlignment w:val="baseline"/>
              <w:rPr>
                <w:rFonts w:ascii="Times New Roman" w:hAnsi="Times New Roman" w:cs="Times New Roman"/>
                <w:sz w:val="20"/>
                <w:szCs w:val="20"/>
              </w:rPr>
            </w:pPr>
            <w:r w:rsidRPr="009E0336">
              <w:rPr>
                <w:rFonts w:ascii="Times New Roman" w:eastAsia="Times New Roman" w:hAnsi="Times New Roman" w:cs="Times New Roman"/>
                <w:b/>
                <w:sz w:val="20"/>
                <w:szCs w:val="20"/>
                <w:lang w:eastAsia="hr-HR"/>
              </w:rPr>
              <w:t>Ciljana vrijednost 202</w:t>
            </w:r>
            <w:r w:rsidR="007077C9" w:rsidRPr="009E0336">
              <w:rPr>
                <w:rFonts w:ascii="Times New Roman" w:eastAsia="Times New Roman" w:hAnsi="Times New Roman" w:cs="Times New Roman"/>
                <w:b/>
                <w:sz w:val="20"/>
                <w:szCs w:val="20"/>
                <w:lang w:eastAsia="hr-HR"/>
              </w:rPr>
              <w:t>5</w:t>
            </w:r>
            <w:r w:rsidRPr="009E0336">
              <w:rPr>
                <w:rFonts w:ascii="Times New Roman" w:eastAsia="Times New Roman" w:hAnsi="Times New Roman" w:cs="Times New Roman"/>
                <w:b/>
                <w:sz w:val="20"/>
                <w:szCs w:val="20"/>
                <w:lang w:eastAsia="hr-HR"/>
              </w:rPr>
              <w:t>.</w:t>
            </w:r>
          </w:p>
        </w:tc>
        <w:tc>
          <w:tcPr>
            <w:tcW w:w="1134"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66453D5D" w14:textId="288472AF" w:rsidR="00F815A1" w:rsidRPr="009E0336" w:rsidRDefault="00F815A1" w:rsidP="00F815A1">
            <w:pPr>
              <w:widowControl/>
              <w:spacing w:after="0" w:line="240" w:lineRule="auto"/>
              <w:jc w:val="center"/>
              <w:textAlignment w:val="baseline"/>
              <w:rPr>
                <w:rFonts w:ascii="Times New Roman" w:hAnsi="Times New Roman" w:cs="Times New Roman"/>
                <w:sz w:val="20"/>
                <w:szCs w:val="20"/>
              </w:rPr>
            </w:pPr>
            <w:r w:rsidRPr="009E0336">
              <w:rPr>
                <w:rFonts w:ascii="Times New Roman" w:eastAsia="Times New Roman" w:hAnsi="Times New Roman" w:cs="Times New Roman"/>
                <w:b/>
                <w:sz w:val="20"/>
                <w:szCs w:val="20"/>
                <w:lang w:eastAsia="hr-HR"/>
              </w:rPr>
              <w:t>Ciljana vrijednost 202</w:t>
            </w:r>
            <w:r w:rsidR="007077C9" w:rsidRPr="009E0336">
              <w:rPr>
                <w:rFonts w:ascii="Times New Roman" w:eastAsia="Times New Roman" w:hAnsi="Times New Roman" w:cs="Times New Roman"/>
                <w:b/>
                <w:sz w:val="20"/>
                <w:szCs w:val="20"/>
                <w:lang w:eastAsia="hr-HR"/>
              </w:rPr>
              <w:t>6</w:t>
            </w:r>
            <w:r w:rsidRPr="009E0336">
              <w:rPr>
                <w:rFonts w:ascii="Times New Roman" w:eastAsia="Times New Roman" w:hAnsi="Times New Roman" w:cs="Times New Roman"/>
                <w:b/>
                <w:sz w:val="20"/>
                <w:szCs w:val="20"/>
                <w:lang w:eastAsia="hr-HR"/>
              </w:rPr>
              <w:t>.</w:t>
            </w:r>
          </w:p>
        </w:tc>
        <w:tc>
          <w:tcPr>
            <w:tcW w:w="1131"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0950135F" w14:textId="698D7118" w:rsidR="00F815A1" w:rsidRPr="009E0336" w:rsidRDefault="00F815A1" w:rsidP="00F815A1">
            <w:pPr>
              <w:widowControl/>
              <w:spacing w:after="0" w:line="240" w:lineRule="auto"/>
              <w:jc w:val="center"/>
              <w:textAlignment w:val="baseline"/>
              <w:rPr>
                <w:rFonts w:ascii="Times New Roman" w:hAnsi="Times New Roman" w:cs="Times New Roman"/>
                <w:sz w:val="20"/>
                <w:szCs w:val="20"/>
              </w:rPr>
            </w:pPr>
            <w:r w:rsidRPr="009E0336">
              <w:rPr>
                <w:rFonts w:ascii="Times New Roman" w:eastAsia="Times New Roman" w:hAnsi="Times New Roman" w:cs="Times New Roman"/>
                <w:b/>
                <w:sz w:val="20"/>
                <w:szCs w:val="20"/>
                <w:lang w:eastAsia="hr-HR"/>
              </w:rPr>
              <w:t>Ciljana vrijednost 202</w:t>
            </w:r>
            <w:r w:rsidR="007077C9" w:rsidRPr="009E0336">
              <w:rPr>
                <w:rFonts w:ascii="Times New Roman" w:eastAsia="Times New Roman" w:hAnsi="Times New Roman" w:cs="Times New Roman"/>
                <w:b/>
                <w:sz w:val="20"/>
                <w:szCs w:val="20"/>
                <w:lang w:eastAsia="hr-HR"/>
              </w:rPr>
              <w:t>7</w:t>
            </w:r>
            <w:r w:rsidRPr="009E0336">
              <w:rPr>
                <w:rFonts w:ascii="Times New Roman" w:eastAsia="Times New Roman" w:hAnsi="Times New Roman" w:cs="Times New Roman"/>
                <w:b/>
                <w:sz w:val="20"/>
                <w:szCs w:val="20"/>
                <w:lang w:eastAsia="hr-HR"/>
              </w:rPr>
              <w:t>.</w:t>
            </w:r>
          </w:p>
        </w:tc>
      </w:tr>
      <w:tr w:rsidR="00F815A1" w:rsidRPr="009E0336" w14:paraId="071E80F7" w14:textId="77777777" w:rsidTr="00FB1800">
        <w:trPr>
          <w:trHeight w:val="219"/>
        </w:trPr>
        <w:tc>
          <w:tcPr>
            <w:tcW w:w="123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F4CEEB9" w14:textId="77777777" w:rsidR="00F815A1" w:rsidRPr="009E0336" w:rsidRDefault="00F815A1" w:rsidP="00F815A1">
            <w:pPr>
              <w:widowControl/>
              <w:spacing w:after="0" w:line="240" w:lineRule="auto"/>
              <w:textAlignment w:val="baseline"/>
              <w:rPr>
                <w:rFonts w:ascii="Times New Roman" w:eastAsia="Times New Roman" w:hAnsi="Times New Roman" w:cs="Times New Roman"/>
                <w:sz w:val="20"/>
                <w:szCs w:val="20"/>
                <w:lang w:eastAsia="hr-HR"/>
              </w:rPr>
            </w:pPr>
            <w:r w:rsidRPr="009E0336">
              <w:rPr>
                <w:rFonts w:ascii="Times New Roman" w:eastAsia="Times New Roman" w:hAnsi="Times New Roman" w:cs="Times New Roman"/>
                <w:sz w:val="20"/>
                <w:szCs w:val="20"/>
                <w:lang w:eastAsia="hr-HR"/>
              </w:rPr>
              <w:t>Povećanje broja postupaka za vrijeme turističke sezone u odnosu na cijelu godinu</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6EE156" w14:textId="77777777" w:rsidR="00F815A1" w:rsidRPr="009E0336" w:rsidRDefault="00F815A1" w:rsidP="00F815A1">
            <w:pPr>
              <w:widowControl/>
              <w:spacing w:after="0" w:line="240" w:lineRule="auto"/>
              <w:textAlignment w:val="baseline"/>
              <w:rPr>
                <w:rFonts w:ascii="Times New Roman" w:eastAsia="Times New Roman" w:hAnsi="Times New Roman" w:cs="Times New Roman"/>
                <w:sz w:val="20"/>
                <w:szCs w:val="20"/>
                <w:lang w:eastAsia="hr-HR"/>
              </w:rPr>
            </w:pPr>
            <w:r w:rsidRPr="009E0336">
              <w:rPr>
                <w:rFonts w:ascii="Times New Roman" w:eastAsia="Times New Roman" w:hAnsi="Times New Roman" w:cs="Times New Roman"/>
                <w:sz w:val="20"/>
                <w:szCs w:val="20"/>
                <w:lang w:eastAsia="hr-HR"/>
              </w:rPr>
              <w:t>Povećanjem broja postupaka za vrijeme turističke sezone svim osobama na području Županije omogućava se efikasna usluga hitne medicine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C76793" w14:textId="77777777" w:rsidR="00F815A1" w:rsidRPr="009E0336" w:rsidRDefault="00F815A1" w:rsidP="00F815A1">
            <w:pPr>
              <w:widowControl/>
              <w:spacing w:after="0" w:line="240" w:lineRule="auto"/>
              <w:jc w:val="center"/>
              <w:textAlignment w:val="baseline"/>
              <w:rPr>
                <w:rFonts w:ascii="Times New Roman" w:eastAsia="Times New Roman" w:hAnsi="Times New Roman" w:cs="Times New Roman"/>
                <w:sz w:val="20"/>
                <w:szCs w:val="20"/>
                <w:lang w:eastAsia="hr-HR"/>
              </w:rPr>
            </w:pPr>
            <w:r w:rsidRPr="009E0336">
              <w:rPr>
                <w:rFonts w:ascii="Times New Roman" w:eastAsia="Times New Roman" w:hAnsi="Times New Roman" w:cs="Times New Roman"/>
                <w:sz w:val="20"/>
                <w:szCs w:val="20"/>
                <w:lang w:eastAsia="hr-HR"/>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DD493E" w14:textId="4D9A9222" w:rsidR="00F815A1" w:rsidRPr="009E0336" w:rsidRDefault="00513651" w:rsidP="00F815A1">
            <w:pPr>
              <w:widowControl/>
              <w:spacing w:after="0" w:line="240" w:lineRule="auto"/>
              <w:jc w:val="center"/>
              <w:textAlignment w:val="baseline"/>
              <w:rPr>
                <w:rFonts w:ascii="Times New Roman" w:eastAsia="Times New Roman" w:hAnsi="Times New Roman" w:cs="Times New Roman"/>
                <w:sz w:val="20"/>
                <w:szCs w:val="20"/>
                <w:lang w:eastAsia="hr-HR"/>
              </w:rPr>
            </w:pPr>
            <w:r w:rsidRPr="009E0336">
              <w:rPr>
                <w:rFonts w:ascii="Times New Roman" w:eastAsia="Times New Roman" w:hAnsi="Times New Roman" w:cs="Times New Roman"/>
                <w:sz w:val="20"/>
                <w:szCs w:val="20"/>
                <w:lang w:eastAsia="hr-HR"/>
              </w:rPr>
              <w:t>54,9</w:t>
            </w:r>
          </w:p>
          <w:p w14:paraId="314FBD5F" w14:textId="77777777" w:rsidR="00F815A1" w:rsidRPr="009E0336" w:rsidRDefault="00F815A1" w:rsidP="00F815A1">
            <w:pPr>
              <w:widowControl/>
              <w:spacing w:after="0" w:line="240" w:lineRule="auto"/>
              <w:jc w:val="center"/>
              <w:textAlignment w:val="baseline"/>
              <w:rPr>
                <w:rFonts w:ascii="Times New Roman" w:eastAsia="Times New Roman" w:hAnsi="Times New Roman" w:cs="Times New Roman"/>
                <w:sz w:val="20"/>
                <w:szCs w:val="20"/>
                <w:lang w:eastAsia="hr-HR"/>
              </w:rPr>
            </w:pPr>
          </w:p>
          <w:p w14:paraId="5B20A3ED" w14:textId="77777777" w:rsidR="00F815A1" w:rsidRPr="009E0336" w:rsidRDefault="00F815A1" w:rsidP="00F815A1">
            <w:pPr>
              <w:widowControl/>
              <w:spacing w:after="0" w:line="240" w:lineRule="auto"/>
              <w:jc w:val="center"/>
              <w:textAlignment w:val="baseline"/>
              <w:rPr>
                <w:rFonts w:ascii="Times New Roman" w:eastAsia="Times New Roman" w:hAnsi="Times New Roman" w:cs="Times New Roman"/>
                <w:sz w:val="20"/>
                <w:szCs w:val="20"/>
                <w:lang w:eastAsia="hr-HR"/>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3DA0B4" w14:textId="38172BE6" w:rsidR="00F815A1" w:rsidRPr="009E0336" w:rsidRDefault="00F815A1" w:rsidP="00F815A1">
            <w:pPr>
              <w:widowControl/>
              <w:spacing w:after="0" w:line="240" w:lineRule="auto"/>
              <w:jc w:val="center"/>
              <w:textAlignment w:val="baseline"/>
              <w:rPr>
                <w:rFonts w:ascii="Times New Roman" w:eastAsia="Times New Roman" w:hAnsi="Times New Roman" w:cs="Times New Roman"/>
                <w:sz w:val="20"/>
                <w:szCs w:val="20"/>
                <w:lang w:eastAsia="hr-HR"/>
              </w:rPr>
            </w:pPr>
            <w:r w:rsidRPr="009E0336">
              <w:rPr>
                <w:rFonts w:ascii="Times New Roman" w:eastAsia="Times New Roman" w:hAnsi="Times New Roman" w:cs="Times New Roman"/>
                <w:sz w:val="20"/>
                <w:szCs w:val="20"/>
                <w:lang w:eastAsia="hr-HR"/>
              </w:rPr>
              <w:t>Zavod</w:t>
            </w:r>
          </w:p>
          <w:p w14:paraId="6D4AD88E" w14:textId="77777777" w:rsidR="00F815A1" w:rsidRPr="009E0336" w:rsidRDefault="00F815A1" w:rsidP="00F815A1">
            <w:pPr>
              <w:widowControl/>
              <w:spacing w:after="0" w:line="240" w:lineRule="auto"/>
              <w:jc w:val="center"/>
              <w:textAlignment w:val="baseline"/>
              <w:rPr>
                <w:rFonts w:ascii="Times New Roman" w:eastAsia="Times New Roman" w:hAnsi="Times New Roman" w:cs="Times New Roman"/>
                <w:sz w:val="20"/>
                <w:szCs w:val="20"/>
                <w:lang w:eastAsia="hr-HR"/>
              </w:rPr>
            </w:pPr>
          </w:p>
          <w:p w14:paraId="6B629E25" w14:textId="77777777" w:rsidR="00F815A1" w:rsidRPr="009E0336" w:rsidRDefault="00F815A1" w:rsidP="00F815A1">
            <w:pPr>
              <w:widowControl/>
              <w:spacing w:after="0" w:line="240" w:lineRule="auto"/>
              <w:jc w:val="center"/>
              <w:textAlignment w:val="baseline"/>
              <w:rPr>
                <w:rFonts w:ascii="Times New Roman" w:eastAsia="Times New Roman" w:hAnsi="Times New Roman" w:cs="Times New Roman"/>
                <w:sz w:val="20"/>
                <w:szCs w:val="20"/>
                <w:lang w:eastAsia="hr-HR"/>
              </w:rPr>
            </w:pPr>
          </w:p>
          <w:p w14:paraId="4159D446" w14:textId="77777777" w:rsidR="00F815A1" w:rsidRPr="009E0336" w:rsidRDefault="00F815A1" w:rsidP="00F815A1">
            <w:pPr>
              <w:widowControl/>
              <w:spacing w:after="0" w:line="240" w:lineRule="auto"/>
              <w:jc w:val="center"/>
              <w:textAlignment w:val="baseline"/>
              <w:rPr>
                <w:rFonts w:ascii="Times New Roman" w:eastAsia="Times New Roman" w:hAnsi="Times New Roman" w:cs="Times New Roman"/>
                <w:sz w:val="20"/>
                <w:szCs w:val="20"/>
                <w:lang w:eastAsia="hr-HR"/>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314B63" w14:textId="5F0C7ABC" w:rsidR="00F815A1" w:rsidRPr="009E0336" w:rsidRDefault="00513651" w:rsidP="00F815A1">
            <w:pPr>
              <w:widowControl/>
              <w:spacing w:after="0" w:line="240" w:lineRule="auto"/>
              <w:jc w:val="center"/>
              <w:textAlignment w:val="baseline"/>
              <w:rPr>
                <w:rFonts w:ascii="Times New Roman" w:hAnsi="Times New Roman" w:cs="Times New Roman"/>
                <w:sz w:val="20"/>
                <w:szCs w:val="20"/>
              </w:rPr>
            </w:pPr>
            <w:r w:rsidRPr="009E0336">
              <w:rPr>
                <w:rFonts w:ascii="Times New Roman" w:eastAsia="Times New Roman" w:hAnsi="Times New Roman" w:cs="Times New Roman"/>
                <w:sz w:val="20"/>
                <w:szCs w:val="20"/>
                <w:lang w:eastAsia="hr-HR"/>
              </w:rPr>
              <w:t>55,0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425D328" w14:textId="36C14EF1" w:rsidR="00F815A1" w:rsidRPr="009E0336" w:rsidRDefault="00513651" w:rsidP="00F815A1">
            <w:pPr>
              <w:widowControl/>
              <w:spacing w:after="0" w:line="240" w:lineRule="auto"/>
              <w:jc w:val="center"/>
              <w:textAlignment w:val="baseline"/>
              <w:rPr>
                <w:rFonts w:ascii="Times New Roman" w:hAnsi="Times New Roman" w:cs="Times New Roman"/>
                <w:sz w:val="20"/>
                <w:szCs w:val="20"/>
              </w:rPr>
            </w:pPr>
            <w:r w:rsidRPr="009E0336">
              <w:rPr>
                <w:rFonts w:ascii="Times New Roman" w:hAnsi="Times New Roman" w:cs="Times New Roman"/>
                <w:sz w:val="20"/>
                <w:szCs w:val="20"/>
              </w:rPr>
              <w:t>55,1</w:t>
            </w:r>
          </w:p>
        </w:tc>
        <w:tc>
          <w:tcPr>
            <w:tcW w:w="11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A1A7444" w14:textId="42118825" w:rsidR="00F815A1" w:rsidRPr="009E0336" w:rsidRDefault="00513651" w:rsidP="00F815A1">
            <w:pPr>
              <w:widowControl/>
              <w:spacing w:after="0" w:line="240" w:lineRule="auto"/>
              <w:jc w:val="center"/>
              <w:textAlignment w:val="baseline"/>
              <w:rPr>
                <w:rFonts w:ascii="Times New Roman" w:eastAsia="Times New Roman" w:hAnsi="Times New Roman" w:cs="Times New Roman"/>
                <w:sz w:val="20"/>
                <w:szCs w:val="20"/>
                <w:lang w:eastAsia="hr-HR"/>
              </w:rPr>
            </w:pPr>
            <w:r w:rsidRPr="009E0336">
              <w:rPr>
                <w:rFonts w:ascii="Times New Roman" w:eastAsia="Times New Roman" w:hAnsi="Times New Roman" w:cs="Times New Roman"/>
                <w:sz w:val="20"/>
                <w:szCs w:val="20"/>
                <w:lang w:eastAsia="hr-HR"/>
              </w:rPr>
              <w:t>55,2</w:t>
            </w:r>
          </w:p>
          <w:p w14:paraId="2A22763B" w14:textId="3D652C37" w:rsidR="00F815A1" w:rsidRPr="009E0336" w:rsidRDefault="00F815A1" w:rsidP="00F815A1">
            <w:pPr>
              <w:widowControl/>
              <w:spacing w:after="0" w:line="240" w:lineRule="auto"/>
              <w:jc w:val="center"/>
              <w:textAlignment w:val="baseline"/>
              <w:rPr>
                <w:rFonts w:ascii="Times New Roman" w:hAnsi="Times New Roman" w:cs="Times New Roman"/>
                <w:sz w:val="20"/>
                <w:szCs w:val="20"/>
              </w:rPr>
            </w:pPr>
          </w:p>
        </w:tc>
      </w:tr>
    </w:tbl>
    <w:p w14:paraId="4276E13D" w14:textId="77777777" w:rsidR="00FA6BF1" w:rsidRPr="009E0336" w:rsidRDefault="00FA6BF1">
      <w:pPr>
        <w:pStyle w:val="Standard"/>
        <w:rPr>
          <w:sz w:val="20"/>
          <w:szCs w:val="20"/>
        </w:rPr>
      </w:pPr>
    </w:p>
    <w:tbl>
      <w:tblPr>
        <w:tblW w:w="9402" w:type="dxa"/>
        <w:tblInd w:w="-108" w:type="dxa"/>
        <w:tblLayout w:type="fixed"/>
        <w:tblCellMar>
          <w:left w:w="10" w:type="dxa"/>
          <w:right w:w="10" w:type="dxa"/>
        </w:tblCellMar>
        <w:tblLook w:val="04A0" w:firstRow="1" w:lastRow="0" w:firstColumn="1" w:lastColumn="0" w:noHBand="0" w:noVBand="1"/>
      </w:tblPr>
      <w:tblGrid>
        <w:gridCol w:w="1176"/>
        <w:gridCol w:w="2046"/>
        <w:gridCol w:w="6180"/>
      </w:tblGrid>
      <w:tr w:rsidR="00FA6BF1" w:rsidRPr="009E0336" w14:paraId="53CD536E" w14:textId="77777777" w:rsidTr="00FB1800">
        <w:trPr>
          <w:trHeight w:val="517"/>
        </w:trPr>
        <w:tc>
          <w:tcPr>
            <w:tcW w:w="11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5ABC171" w14:textId="77777777" w:rsidR="00FA6BF1" w:rsidRPr="009E0336" w:rsidRDefault="00091387">
            <w:pPr>
              <w:widowControl/>
              <w:spacing w:after="0" w:line="240" w:lineRule="auto"/>
              <w:textAlignment w:val="baseline"/>
              <w:rPr>
                <w:rFonts w:ascii="Times New Roman" w:hAnsi="Times New Roman" w:cs="Times New Roman"/>
                <w:sz w:val="20"/>
                <w:szCs w:val="20"/>
              </w:rPr>
            </w:pPr>
            <w:r w:rsidRPr="009E0336">
              <w:rPr>
                <w:rFonts w:ascii="Times New Roman" w:eastAsia="Times New Roman" w:hAnsi="Times New Roman" w:cs="Times New Roman"/>
                <w:b/>
                <w:bCs/>
                <w:color w:val="000000"/>
                <w:sz w:val="20"/>
                <w:szCs w:val="20"/>
                <w:lang w:eastAsia="hr-HR"/>
              </w:rPr>
              <w:t>Aktivnost/ Projekt:</w:t>
            </w:r>
          </w:p>
        </w:tc>
        <w:tc>
          <w:tcPr>
            <w:tcW w:w="20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60F27A" w14:textId="47FEC68F" w:rsidR="00FA6BF1" w:rsidRPr="009E0336" w:rsidRDefault="00091387" w:rsidP="00FB1800">
            <w:pPr>
              <w:widowControl/>
              <w:spacing w:after="0" w:line="240" w:lineRule="auto"/>
              <w:textAlignment w:val="baseline"/>
              <w:rPr>
                <w:rFonts w:ascii="Times New Roman" w:eastAsia="Times New Roman" w:hAnsi="Times New Roman" w:cs="Times New Roman"/>
                <w:b/>
                <w:bCs/>
                <w:sz w:val="20"/>
                <w:szCs w:val="20"/>
                <w:lang w:eastAsia="hr-HR"/>
              </w:rPr>
            </w:pPr>
            <w:r w:rsidRPr="009E0336">
              <w:rPr>
                <w:rFonts w:ascii="Times New Roman" w:eastAsia="Times New Roman" w:hAnsi="Times New Roman" w:cs="Times New Roman"/>
                <w:b/>
                <w:bCs/>
                <w:sz w:val="20"/>
                <w:szCs w:val="20"/>
                <w:lang w:eastAsia="hr-HR"/>
              </w:rPr>
              <w:t>A003020A302008</w:t>
            </w:r>
          </w:p>
        </w:tc>
        <w:tc>
          <w:tcPr>
            <w:tcW w:w="61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42D40A" w14:textId="77777777" w:rsidR="00FA6BF1" w:rsidRPr="009E0336" w:rsidRDefault="00091387">
            <w:pPr>
              <w:widowControl/>
              <w:spacing w:after="0" w:line="240" w:lineRule="auto"/>
              <w:textAlignment w:val="baseline"/>
              <w:rPr>
                <w:rFonts w:ascii="Times New Roman" w:eastAsia="Times New Roman" w:hAnsi="Times New Roman" w:cs="Times New Roman"/>
                <w:b/>
                <w:bCs/>
                <w:sz w:val="20"/>
                <w:szCs w:val="20"/>
                <w:lang w:eastAsia="hr-HR"/>
              </w:rPr>
            </w:pPr>
            <w:r w:rsidRPr="009E0336">
              <w:rPr>
                <w:rFonts w:ascii="Times New Roman" w:eastAsia="Times New Roman" w:hAnsi="Times New Roman" w:cs="Times New Roman"/>
                <w:b/>
                <w:bCs/>
                <w:sz w:val="20"/>
                <w:szCs w:val="20"/>
                <w:lang w:eastAsia="hr-HR"/>
              </w:rPr>
              <w:t>Dodatni timovi HMP prilikom zaštite od požara</w:t>
            </w:r>
          </w:p>
        </w:tc>
      </w:tr>
      <w:tr w:rsidR="00FA6BF1" w:rsidRPr="009E0336" w14:paraId="66FF9BCA" w14:textId="77777777">
        <w:trPr>
          <w:trHeight w:val="517"/>
        </w:trPr>
        <w:tc>
          <w:tcPr>
            <w:tcW w:w="11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7068DF6" w14:textId="77777777" w:rsidR="00FA6BF1" w:rsidRPr="009E0336" w:rsidRDefault="00091387">
            <w:pPr>
              <w:widowControl/>
              <w:spacing w:after="0" w:line="240" w:lineRule="auto"/>
              <w:textAlignment w:val="baseline"/>
              <w:rPr>
                <w:rFonts w:ascii="Times New Roman" w:hAnsi="Times New Roman" w:cs="Times New Roman"/>
                <w:sz w:val="20"/>
                <w:szCs w:val="20"/>
              </w:rPr>
            </w:pPr>
            <w:r w:rsidRPr="009E0336">
              <w:rPr>
                <w:rFonts w:ascii="Times New Roman" w:eastAsia="Times New Roman" w:hAnsi="Times New Roman" w:cs="Times New Roman"/>
                <w:b/>
                <w:bCs/>
                <w:color w:val="000000"/>
                <w:sz w:val="20"/>
                <w:szCs w:val="20"/>
                <w:lang w:eastAsia="hr-HR"/>
              </w:rPr>
              <w:t>Zakonska i druga pravna osnova:</w:t>
            </w:r>
          </w:p>
        </w:tc>
        <w:tc>
          <w:tcPr>
            <w:tcW w:w="822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80D888" w14:textId="77777777" w:rsidR="00FA6BF1" w:rsidRPr="009E0336" w:rsidRDefault="00091387">
            <w:pPr>
              <w:widowControl/>
              <w:spacing w:after="0" w:line="240" w:lineRule="auto"/>
              <w:jc w:val="both"/>
              <w:rPr>
                <w:rFonts w:ascii="Times New Roman" w:hAnsi="Times New Roman" w:cs="Times New Roman"/>
                <w:sz w:val="20"/>
                <w:szCs w:val="20"/>
              </w:rPr>
            </w:pPr>
            <w:r w:rsidRPr="009E0336">
              <w:rPr>
                <w:rFonts w:ascii="Times New Roman" w:eastAsia="Times New Roman" w:hAnsi="Times New Roman" w:cs="Times New Roman"/>
                <w:kern w:val="0"/>
                <w:sz w:val="20"/>
                <w:szCs w:val="20"/>
                <w:lang w:eastAsia="ar-SA"/>
              </w:rPr>
              <w:t>Program aktivnosti u provedbi posebnih mjera zaštite od požara od interesa za Republiku Hrvatsku</w:t>
            </w:r>
          </w:p>
        </w:tc>
      </w:tr>
      <w:tr w:rsidR="00FA6BF1" w:rsidRPr="009E0336" w14:paraId="20EA91D7" w14:textId="77777777">
        <w:trPr>
          <w:trHeight w:val="257"/>
        </w:trPr>
        <w:tc>
          <w:tcPr>
            <w:tcW w:w="11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7089209" w14:textId="77777777" w:rsidR="00FA6BF1" w:rsidRPr="009E0336" w:rsidRDefault="00091387">
            <w:pPr>
              <w:widowControl/>
              <w:spacing w:after="0" w:line="240" w:lineRule="auto"/>
              <w:textAlignment w:val="baseline"/>
              <w:rPr>
                <w:rFonts w:ascii="Times New Roman" w:hAnsi="Times New Roman" w:cs="Times New Roman"/>
                <w:sz w:val="20"/>
                <w:szCs w:val="20"/>
              </w:rPr>
            </w:pPr>
            <w:r w:rsidRPr="009E0336">
              <w:rPr>
                <w:rFonts w:ascii="Times New Roman" w:eastAsia="Times New Roman" w:hAnsi="Times New Roman" w:cs="Times New Roman"/>
                <w:b/>
                <w:bCs/>
                <w:color w:val="000000"/>
                <w:sz w:val="20"/>
                <w:szCs w:val="20"/>
                <w:lang w:eastAsia="hr-HR"/>
              </w:rPr>
              <w:t>Opis aktivnosti / projekta</w:t>
            </w:r>
          </w:p>
        </w:tc>
        <w:tc>
          <w:tcPr>
            <w:tcW w:w="822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D75490" w14:textId="77777777" w:rsidR="00FA6BF1" w:rsidRPr="009E0336" w:rsidRDefault="00FA6BF1" w:rsidP="00C97AA2">
            <w:pPr>
              <w:widowControl/>
              <w:snapToGrid w:val="0"/>
              <w:spacing w:after="0" w:line="240" w:lineRule="auto"/>
              <w:rPr>
                <w:rFonts w:ascii="Times New Roman" w:eastAsia="Times New Roman" w:hAnsi="Times New Roman" w:cs="Times New Roman"/>
                <w:kern w:val="0"/>
                <w:sz w:val="20"/>
                <w:szCs w:val="20"/>
                <w:lang w:eastAsia="ar-SA"/>
              </w:rPr>
            </w:pPr>
          </w:p>
          <w:p w14:paraId="45D3E45D" w14:textId="77777777" w:rsidR="00FA6BF1" w:rsidRPr="009E0336" w:rsidRDefault="00091387" w:rsidP="00C97AA2">
            <w:pPr>
              <w:widowControl/>
              <w:snapToGrid w:val="0"/>
              <w:spacing w:after="0" w:line="240" w:lineRule="auto"/>
              <w:rPr>
                <w:rFonts w:ascii="Times New Roman" w:eastAsia="Times New Roman" w:hAnsi="Times New Roman" w:cs="Times New Roman"/>
                <w:kern w:val="0"/>
                <w:sz w:val="20"/>
                <w:szCs w:val="20"/>
                <w:lang w:eastAsia="ar-SA"/>
              </w:rPr>
            </w:pPr>
            <w:r w:rsidRPr="009E0336">
              <w:rPr>
                <w:rFonts w:ascii="Times New Roman" w:eastAsia="Times New Roman" w:hAnsi="Times New Roman" w:cs="Times New Roman"/>
                <w:kern w:val="0"/>
                <w:sz w:val="20"/>
                <w:szCs w:val="20"/>
                <w:lang w:eastAsia="ar-SA"/>
              </w:rPr>
              <w:t>Sukladno Programu aktivnosti u provedbi posebnih mjera zaštite od požara od interesa za Republiku Hrvatsku kojeg je donijela Vlada RH, u slučaju požara mobiliziraju se dodatni timovi koji će biti angažirani na požarištu.</w:t>
            </w:r>
          </w:p>
          <w:p w14:paraId="6CECABA2" w14:textId="77777777" w:rsidR="00FA6BF1" w:rsidRPr="009E0336" w:rsidRDefault="00FA6BF1" w:rsidP="00C97AA2">
            <w:pPr>
              <w:widowControl/>
              <w:snapToGrid w:val="0"/>
              <w:spacing w:after="0" w:line="240" w:lineRule="auto"/>
              <w:rPr>
                <w:rFonts w:ascii="Times New Roman" w:eastAsia="Times New Roman" w:hAnsi="Times New Roman" w:cs="Times New Roman"/>
                <w:kern w:val="0"/>
                <w:sz w:val="20"/>
                <w:szCs w:val="20"/>
                <w:lang w:eastAsia="ar-SA"/>
              </w:rPr>
            </w:pPr>
          </w:p>
          <w:p w14:paraId="4E815C9D" w14:textId="755AD340" w:rsidR="00FA6BF1" w:rsidRPr="009E0336" w:rsidRDefault="00091387" w:rsidP="00C97AA2">
            <w:pPr>
              <w:widowControl/>
              <w:spacing w:after="0" w:line="240" w:lineRule="auto"/>
              <w:jc w:val="both"/>
              <w:rPr>
                <w:rFonts w:ascii="Times New Roman" w:eastAsia="Times New Roman" w:hAnsi="Times New Roman" w:cs="Times New Roman"/>
                <w:bCs/>
                <w:kern w:val="0"/>
                <w:sz w:val="20"/>
                <w:szCs w:val="20"/>
                <w:lang w:eastAsia="ar-SA"/>
              </w:rPr>
            </w:pPr>
            <w:r w:rsidRPr="009E0336">
              <w:rPr>
                <w:rFonts w:ascii="Times New Roman" w:eastAsia="Times New Roman" w:hAnsi="Times New Roman" w:cs="Times New Roman"/>
                <w:bCs/>
                <w:kern w:val="0"/>
                <w:sz w:val="20"/>
                <w:szCs w:val="20"/>
                <w:lang w:eastAsia="ar-SA"/>
              </w:rPr>
              <w:t>Ova aktivnost, koja obuhvaća 0,1% ukupnog plana u 202</w:t>
            </w:r>
            <w:r w:rsidR="00BD28A4" w:rsidRPr="009E0336">
              <w:rPr>
                <w:rFonts w:ascii="Times New Roman" w:eastAsia="Times New Roman" w:hAnsi="Times New Roman" w:cs="Times New Roman"/>
                <w:bCs/>
                <w:kern w:val="0"/>
                <w:sz w:val="20"/>
                <w:szCs w:val="20"/>
                <w:lang w:eastAsia="ar-SA"/>
              </w:rPr>
              <w:t>5</w:t>
            </w:r>
            <w:r w:rsidRPr="009E0336">
              <w:rPr>
                <w:rFonts w:ascii="Times New Roman" w:eastAsia="Times New Roman" w:hAnsi="Times New Roman" w:cs="Times New Roman"/>
                <w:bCs/>
                <w:kern w:val="0"/>
                <w:sz w:val="20"/>
                <w:szCs w:val="20"/>
                <w:lang w:eastAsia="ar-SA"/>
              </w:rPr>
              <w:t xml:space="preserve">.g., odnosi se na rashode za zaposlene i materijalne rashode koji se financiraju iz matičnih sredstava SDŽ u iznosu od </w:t>
            </w:r>
            <w:r w:rsidR="00946903" w:rsidRPr="009E0336">
              <w:rPr>
                <w:rFonts w:ascii="Times New Roman" w:eastAsia="Times New Roman" w:hAnsi="Times New Roman" w:cs="Times New Roman"/>
                <w:bCs/>
                <w:kern w:val="0"/>
                <w:sz w:val="20"/>
                <w:szCs w:val="20"/>
                <w:lang w:eastAsia="ar-SA"/>
              </w:rPr>
              <w:t>1</w:t>
            </w:r>
            <w:r w:rsidR="00BD28A4" w:rsidRPr="009E0336">
              <w:rPr>
                <w:rFonts w:ascii="Times New Roman" w:eastAsia="Times New Roman" w:hAnsi="Times New Roman" w:cs="Times New Roman"/>
                <w:bCs/>
                <w:kern w:val="0"/>
                <w:sz w:val="20"/>
                <w:szCs w:val="20"/>
                <w:lang w:eastAsia="ar-SA"/>
              </w:rPr>
              <w:t>5</w:t>
            </w:r>
            <w:r w:rsidRPr="009E0336">
              <w:rPr>
                <w:rFonts w:ascii="Times New Roman" w:eastAsia="Times New Roman" w:hAnsi="Times New Roman" w:cs="Times New Roman"/>
                <w:bCs/>
                <w:kern w:val="0"/>
                <w:sz w:val="20"/>
                <w:szCs w:val="20"/>
                <w:lang w:eastAsia="ar-SA"/>
              </w:rPr>
              <w:t>.</w:t>
            </w:r>
            <w:r w:rsidR="00946903" w:rsidRPr="009E0336">
              <w:rPr>
                <w:rFonts w:ascii="Times New Roman" w:eastAsia="Times New Roman" w:hAnsi="Times New Roman" w:cs="Times New Roman"/>
                <w:bCs/>
                <w:kern w:val="0"/>
                <w:sz w:val="20"/>
                <w:szCs w:val="20"/>
                <w:lang w:eastAsia="ar-SA"/>
              </w:rPr>
              <w:t>000,00</w:t>
            </w:r>
            <w:r w:rsidRPr="009E0336">
              <w:rPr>
                <w:rFonts w:ascii="Times New Roman" w:eastAsia="Times New Roman" w:hAnsi="Times New Roman" w:cs="Times New Roman"/>
                <w:bCs/>
                <w:kern w:val="0"/>
                <w:sz w:val="20"/>
                <w:szCs w:val="20"/>
                <w:lang w:eastAsia="ar-SA"/>
              </w:rPr>
              <w:t xml:space="preserve"> € u </w:t>
            </w:r>
            <w:r w:rsidR="00946903" w:rsidRPr="009E0336">
              <w:rPr>
                <w:rFonts w:ascii="Times New Roman" w:eastAsia="Times New Roman" w:hAnsi="Times New Roman" w:cs="Times New Roman"/>
                <w:bCs/>
                <w:kern w:val="0"/>
                <w:sz w:val="20"/>
                <w:szCs w:val="20"/>
                <w:lang w:eastAsia="ar-SA"/>
              </w:rPr>
              <w:t>202</w:t>
            </w:r>
            <w:r w:rsidR="00BD28A4" w:rsidRPr="009E0336">
              <w:rPr>
                <w:rFonts w:ascii="Times New Roman" w:eastAsia="Times New Roman" w:hAnsi="Times New Roman" w:cs="Times New Roman"/>
                <w:bCs/>
                <w:kern w:val="0"/>
                <w:sz w:val="20"/>
                <w:szCs w:val="20"/>
                <w:lang w:eastAsia="ar-SA"/>
              </w:rPr>
              <w:t>5</w:t>
            </w:r>
            <w:r w:rsidR="00946903" w:rsidRPr="009E0336">
              <w:rPr>
                <w:rFonts w:ascii="Times New Roman" w:eastAsia="Times New Roman" w:hAnsi="Times New Roman" w:cs="Times New Roman"/>
                <w:bCs/>
                <w:kern w:val="0"/>
                <w:sz w:val="20"/>
                <w:szCs w:val="20"/>
                <w:lang w:eastAsia="ar-SA"/>
              </w:rPr>
              <w:t>.g., u iznosu od 1</w:t>
            </w:r>
            <w:r w:rsidR="00BD28A4" w:rsidRPr="009E0336">
              <w:rPr>
                <w:rFonts w:ascii="Times New Roman" w:eastAsia="Times New Roman" w:hAnsi="Times New Roman" w:cs="Times New Roman"/>
                <w:bCs/>
                <w:kern w:val="0"/>
                <w:sz w:val="20"/>
                <w:szCs w:val="20"/>
                <w:lang w:eastAsia="ar-SA"/>
              </w:rPr>
              <w:t>6</w:t>
            </w:r>
            <w:r w:rsidR="00946903" w:rsidRPr="009E0336">
              <w:rPr>
                <w:rFonts w:ascii="Times New Roman" w:eastAsia="Times New Roman" w:hAnsi="Times New Roman" w:cs="Times New Roman"/>
                <w:bCs/>
                <w:kern w:val="0"/>
                <w:sz w:val="20"/>
                <w:szCs w:val="20"/>
                <w:lang w:eastAsia="ar-SA"/>
              </w:rPr>
              <w:t>.</w:t>
            </w:r>
            <w:r w:rsidR="00BD28A4" w:rsidRPr="009E0336">
              <w:rPr>
                <w:rFonts w:ascii="Times New Roman" w:eastAsia="Times New Roman" w:hAnsi="Times New Roman" w:cs="Times New Roman"/>
                <w:bCs/>
                <w:kern w:val="0"/>
                <w:sz w:val="20"/>
                <w:szCs w:val="20"/>
                <w:lang w:eastAsia="ar-SA"/>
              </w:rPr>
              <w:t>0</w:t>
            </w:r>
            <w:r w:rsidR="00946903" w:rsidRPr="009E0336">
              <w:rPr>
                <w:rFonts w:ascii="Times New Roman" w:eastAsia="Times New Roman" w:hAnsi="Times New Roman" w:cs="Times New Roman"/>
                <w:bCs/>
                <w:kern w:val="0"/>
                <w:sz w:val="20"/>
                <w:szCs w:val="20"/>
                <w:lang w:eastAsia="ar-SA"/>
              </w:rPr>
              <w:t>00,00 € u 202</w:t>
            </w:r>
            <w:r w:rsidR="00BD28A4" w:rsidRPr="009E0336">
              <w:rPr>
                <w:rFonts w:ascii="Times New Roman" w:eastAsia="Times New Roman" w:hAnsi="Times New Roman" w:cs="Times New Roman"/>
                <w:bCs/>
                <w:kern w:val="0"/>
                <w:sz w:val="20"/>
                <w:szCs w:val="20"/>
                <w:lang w:eastAsia="ar-SA"/>
              </w:rPr>
              <w:t>6</w:t>
            </w:r>
            <w:r w:rsidR="00946903" w:rsidRPr="009E0336">
              <w:rPr>
                <w:rFonts w:ascii="Times New Roman" w:eastAsia="Times New Roman" w:hAnsi="Times New Roman" w:cs="Times New Roman"/>
                <w:bCs/>
                <w:kern w:val="0"/>
                <w:sz w:val="20"/>
                <w:szCs w:val="20"/>
                <w:lang w:eastAsia="ar-SA"/>
              </w:rPr>
              <w:t>.g. i u iznosu od 1</w:t>
            </w:r>
            <w:r w:rsidR="00BD28A4" w:rsidRPr="009E0336">
              <w:rPr>
                <w:rFonts w:ascii="Times New Roman" w:eastAsia="Times New Roman" w:hAnsi="Times New Roman" w:cs="Times New Roman"/>
                <w:bCs/>
                <w:kern w:val="0"/>
                <w:sz w:val="20"/>
                <w:szCs w:val="20"/>
                <w:lang w:eastAsia="ar-SA"/>
              </w:rPr>
              <w:t>7</w:t>
            </w:r>
            <w:r w:rsidR="00946903" w:rsidRPr="009E0336">
              <w:rPr>
                <w:rFonts w:ascii="Times New Roman" w:eastAsia="Times New Roman" w:hAnsi="Times New Roman" w:cs="Times New Roman"/>
                <w:bCs/>
                <w:kern w:val="0"/>
                <w:sz w:val="20"/>
                <w:szCs w:val="20"/>
                <w:lang w:eastAsia="ar-SA"/>
              </w:rPr>
              <w:t>.</w:t>
            </w:r>
            <w:r w:rsidR="00BD28A4" w:rsidRPr="009E0336">
              <w:rPr>
                <w:rFonts w:ascii="Times New Roman" w:eastAsia="Times New Roman" w:hAnsi="Times New Roman" w:cs="Times New Roman"/>
                <w:bCs/>
                <w:kern w:val="0"/>
                <w:sz w:val="20"/>
                <w:szCs w:val="20"/>
                <w:lang w:eastAsia="ar-SA"/>
              </w:rPr>
              <w:t>0</w:t>
            </w:r>
            <w:r w:rsidR="00946903" w:rsidRPr="009E0336">
              <w:rPr>
                <w:rFonts w:ascii="Times New Roman" w:eastAsia="Times New Roman" w:hAnsi="Times New Roman" w:cs="Times New Roman"/>
                <w:bCs/>
                <w:kern w:val="0"/>
                <w:sz w:val="20"/>
                <w:szCs w:val="20"/>
                <w:lang w:eastAsia="ar-SA"/>
              </w:rPr>
              <w:t>00,00 € u 202</w:t>
            </w:r>
            <w:r w:rsidR="00BD28A4" w:rsidRPr="009E0336">
              <w:rPr>
                <w:rFonts w:ascii="Times New Roman" w:eastAsia="Times New Roman" w:hAnsi="Times New Roman" w:cs="Times New Roman"/>
                <w:bCs/>
                <w:kern w:val="0"/>
                <w:sz w:val="20"/>
                <w:szCs w:val="20"/>
                <w:lang w:eastAsia="ar-SA"/>
              </w:rPr>
              <w:t>7</w:t>
            </w:r>
            <w:r w:rsidR="00946903" w:rsidRPr="009E0336">
              <w:rPr>
                <w:rFonts w:ascii="Times New Roman" w:eastAsia="Times New Roman" w:hAnsi="Times New Roman" w:cs="Times New Roman"/>
                <w:bCs/>
                <w:kern w:val="0"/>
                <w:sz w:val="20"/>
                <w:szCs w:val="20"/>
                <w:lang w:eastAsia="ar-SA"/>
              </w:rPr>
              <w:t>.g</w:t>
            </w:r>
            <w:r w:rsidRPr="009E0336">
              <w:rPr>
                <w:rFonts w:ascii="Times New Roman" w:eastAsia="Times New Roman" w:hAnsi="Times New Roman" w:cs="Times New Roman"/>
                <w:bCs/>
                <w:kern w:val="0"/>
                <w:sz w:val="20"/>
                <w:szCs w:val="20"/>
                <w:lang w:eastAsia="ar-SA"/>
              </w:rPr>
              <w:t>.</w:t>
            </w:r>
          </w:p>
          <w:p w14:paraId="0AB01A38" w14:textId="77777777" w:rsidR="00FA6BF1" w:rsidRPr="009E0336" w:rsidRDefault="00FA6BF1" w:rsidP="00C97AA2">
            <w:pPr>
              <w:widowControl/>
              <w:spacing w:after="0" w:line="240" w:lineRule="auto"/>
              <w:jc w:val="both"/>
              <w:rPr>
                <w:rFonts w:ascii="Times New Roman" w:hAnsi="Times New Roman" w:cs="Times New Roman"/>
                <w:sz w:val="20"/>
                <w:szCs w:val="20"/>
              </w:rPr>
            </w:pPr>
          </w:p>
        </w:tc>
      </w:tr>
      <w:tr w:rsidR="00FA6BF1" w:rsidRPr="009E0336" w14:paraId="07698267" w14:textId="77777777">
        <w:trPr>
          <w:trHeight w:val="257"/>
        </w:trPr>
        <w:tc>
          <w:tcPr>
            <w:tcW w:w="11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1E9A11F" w14:textId="77777777" w:rsidR="00FA6BF1" w:rsidRPr="009E0336" w:rsidRDefault="00091387">
            <w:pPr>
              <w:widowControl/>
              <w:spacing w:after="0" w:line="240" w:lineRule="auto"/>
              <w:textAlignment w:val="baseline"/>
              <w:rPr>
                <w:rFonts w:ascii="Times New Roman" w:hAnsi="Times New Roman" w:cs="Times New Roman"/>
                <w:sz w:val="20"/>
                <w:szCs w:val="20"/>
              </w:rPr>
            </w:pPr>
            <w:r w:rsidRPr="009E0336">
              <w:rPr>
                <w:rFonts w:ascii="Times New Roman" w:eastAsia="Times New Roman" w:hAnsi="Times New Roman" w:cs="Times New Roman"/>
                <w:b/>
                <w:bCs/>
                <w:color w:val="000000"/>
                <w:sz w:val="20"/>
                <w:szCs w:val="20"/>
                <w:lang w:eastAsia="hr-HR"/>
              </w:rPr>
              <w:t>Obrazloženje izračuna financijskih sredstava:</w:t>
            </w:r>
          </w:p>
        </w:tc>
        <w:tc>
          <w:tcPr>
            <w:tcW w:w="822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D70F0E" w14:textId="781468F4" w:rsidR="00FA6BF1" w:rsidRPr="009E0336" w:rsidRDefault="00091387" w:rsidP="00C97AA2">
            <w:pPr>
              <w:spacing w:line="240" w:lineRule="auto"/>
              <w:jc w:val="both"/>
              <w:textAlignment w:val="baseline"/>
              <w:rPr>
                <w:rFonts w:ascii="Times New Roman" w:hAnsi="Times New Roman" w:cs="Times New Roman"/>
                <w:sz w:val="20"/>
                <w:szCs w:val="20"/>
              </w:rPr>
            </w:pPr>
            <w:r w:rsidRPr="009E0336">
              <w:rPr>
                <w:rFonts w:ascii="Times New Roman" w:eastAsia="Times New Roman" w:hAnsi="Times New Roman" w:cs="Times New Roman"/>
                <w:kern w:val="0"/>
                <w:sz w:val="20"/>
                <w:szCs w:val="20"/>
                <w:lang w:eastAsia="ar-SA"/>
              </w:rPr>
              <w:t>U sklopu ove aktivnosti obuhvaćeni su rashodi za zaposlene (</w:t>
            </w:r>
            <w:r w:rsidR="00BD28A4" w:rsidRPr="009E0336">
              <w:rPr>
                <w:rFonts w:ascii="Times New Roman" w:eastAsia="Times New Roman" w:hAnsi="Times New Roman" w:cs="Times New Roman"/>
                <w:kern w:val="0"/>
                <w:sz w:val="20"/>
                <w:szCs w:val="20"/>
                <w:lang w:eastAsia="ar-SA"/>
              </w:rPr>
              <w:t>14</w:t>
            </w:r>
            <w:r w:rsidR="00946903" w:rsidRPr="009E0336">
              <w:rPr>
                <w:rFonts w:ascii="Times New Roman" w:eastAsia="Times New Roman" w:hAnsi="Times New Roman" w:cs="Times New Roman"/>
                <w:kern w:val="0"/>
                <w:sz w:val="20"/>
                <w:szCs w:val="20"/>
                <w:lang w:eastAsia="ar-SA"/>
              </w:rPr>
              <w:t>.</w:t>
            </w:r>
            <w:r w:rsidR="00BD28A4" w:rsidRPr="009E0336">
              <w:rPr>
                <w:rFonts w:ascii="Times New Roman" w:eastAsia="Times New Roman" w:hAnsi="Times New Roman" w:cs="Times New Roman"/>
                <w:kern w:val="0"/>
                <w:sz w:val="20"/>
                <w:szCs w:val="20"/>
                <w:lang w:eastAsia="ar-SA"/>
              </w:rPr>
              <w:t>0</w:t>
            </w:r>
            <w:r w:rsidR="00946903" w:rsidRPr="009E0336">
              <w:rPr>
                <w:rFonts w:ascii="Times New Roman" w:eastAsia="Times New Roman" w:hAnsi="Times New Roman" w:cs="Times New Roman"/>
                <w:kern w:val="0"/>
                <w:sz w:val="20"/>
                <w:szCs w:val="20"/>
                <w:lang w:eastAsia="ar-SA"/>
              </w:rPr>
              <w:t>00,00</w:t>
            </w:r>
            <w:r w:rsidRPr="009E0336">
              <w:rPr>
                <w:rFonts w:ascii="Times New Roman" w:eastAsia="Times New Roman" w:hAnsi="Times New Roman" w:cs="Times New Roman"/>
                <w:kern w:val="0"/>
                <w:sz w:val="20"/>
                <w:szCs w:val="20"/>
                <w:lang w:eastAsia="ar-SA"/>
              </w:rPr>
              <w:t xml:space="preserve"> </w:t>
            </w:r>
            <w:r w:rsidRPr="009E0336">
              <w:rPr>
                <w:rFonts w:ascii="Times New Roman" w:eastAsia="Times New Roman" w:hAnsi="Times New Roman" w:cs="Times New Roman"/>
                <w:color w:val="000000"/>
                <w:sz w:val="20"/>
                <w:szCs w:val="20"/>
                <w:lang w:eastAsia="hr-HR"/>
              </w:rPr>
              <w:t>€</w:t>
            </w:r>
            <w:r w:rsidRPr="009E0336">
              <w:rPr>
                <w:rFonts w:ascii="Times New Roman" w:eastAsia="Times New Roman" w:hAnsi="Times New Roman" w:cs="Times New Roman"/>
                <w:b/>
                <w:bCs/>
                <w:color w:val="000000"/>
                <w:sz w:val="20"/>
                <w:szCs w:val="20"/>
                <w:lang w:eastAsia="hr-HR"/>
              </w:rPr>
              <w:t>)</w:t>
            </w:r>
            <w:r w:rsidRPr="009E0336">
              <w:rPr>
                <w:rFonts w:ascii="Times New Roman" w:eastAsia="Times New Roman" w:hAnsi="Times New Roman" w:cs="Times New Roman"/>
                <w:kern w:val="0"/>
                <w:sz w:val="20"/>
                <w:szCs w:val="20"/>
                <w:lang w:eastAsia="ar-SA"/>
              </w:rPr>
              <w:t xml:space="preserve"> i materijalni rashodi (</w:t>
            </w:r>
            <w:r w:rsidR="00BD28A4" w:rsidRPr="009E0336">
              <w:rPr>
                <w:rFonts w:ascii="Times New Roman" w:eastAsia="Times New Roman" w:hAnsi="Times New Roman" w:cs="Times New Roman"/>
                <w:kern w:val="0"/>
                <w:sz w:val="20"/>
                <w:szCs w:val="20"/>
                <w:lang w:eastAsia="ar-SA"/>
              </w:rPr>
              <w:t>1.000</w:t>
            </w:r>
            <w:r w:rsidR="00946903" w:rsidRPr="009E0336">
              <w:rPr>
                <w:rFonts w:ascii="Times New Roman" w:eastAsia="Times New Roman" w:hAnsi="Times New Roman" w:cs="Times New Roman"/>
                <w:kern w:val="0"/>
                <w:sz w:val="20"/>
                <w:szCs w:val="20"/>
                <w:lang w:eastAsia="ar-SA"/>
              </w:rPr>
              <w:t>,00</w:t>
            </w:r>
            <w:r w:rsidRPr="009E0336">
              <w:rPr>
                <w:rFonts w:ascii="Times New Roman" w:eastAsia="Times New Roman" w:hAnsi="Times New Roman" w:cs="Times New Roman"/>
                <w:kern w:val="0"/>
                <w:sz w:val="20"/>
                <w:szCs w:val="20"/>
                <w:lang w:eastAsia="ar-SA"/>
              </w:rPr>
              <w:t xml:space="preserve"> </w:t>
            </w:r>
            <w:r w:rsidRPr="009E0336">
              <w:rPr>
                <w:rFonts w:ascii="Times New Roman" w:eastAsia="Times New Roman" w:hAnsi="Times New Roman" w:cs="Times New Roman"/>
                <w:color w:val="000000"/>
                <w:sz w:val="20"/>
                <w:szCs w:val="20"/>
                <w:lang w:eastAsia="hr-HR"/>
              </w:rPr>
              <w:t>€</w:t>
            </w:r>
            <w:r w:rsidRPr="009E0336">
              <w:rPr>
                <w:rFonts w:ascii="Times New Roman" w:eastAsia="Times New Roman" w:hAnsi="Times New Roman" w:cs="Times New Roman"/>
                <w:b/>
                <w:bCs/>
                <w:color w:val="000000"/>
                <w:sz w:val="20"/>
                <w:szCs w:val="20"/>
                <w:lang w:eastAsia="hr-HR"/>
              </w:rPr>
              <w:t xml:space="preserve">) </w:t>
            </w:r>
            <w:r w:rsidRPr="009E0336">
              <w:rPr>
                <w:rFonts w:ascii="Times New Roman" w:eastAsia="Times New Roman" w:hAnsi="Times New Roman" w:cs="Times New Roman"/>
                <w:kern w:val="0"/>
                <w:sz w:val="20"/>
                <w:szCs w:val="20"/>
                <w:lang w:eastAsia="ar-SA"/>
              </w:rPr>
              <w:t xml:space="preserve">koji se financiraju iz matičnih sredstava SDŽ u iznosu od </w:t>
            </w:r>
            <w:r w:rsidR="00BD28A4" w:rsidRPr="009E0336">
              <w:rPr>
                <w:rFonts w:ascii="Times New Roman" w:eastAsia="Times New Roman" w:hAnsi="Times New Roman" w:cs="Times New Roman"/>
                <w:kern w:val="0"/>
                <w:sz w:val="20"/>
                <w:szCs w:val="20"/>
                <w:lang w:eastAsia="ar-SA"/>
              </w:rPr>
              <w:t>15</w:t>
            </w:r>
            <w:r w:rsidR="00946903" w:rsidRPr="009E0336">
              <w:rPr>
                <w:rFonts w:ascii="Times New Roman" w:eastAsia="Times New Roman" w:hAnsi="Times New Roman" w:cs="Times New Roman"/>
                <w:kern w:val="0"/>
                <w:sz w:val="20"/>
                <w:szCs w:val="20"/>
                <w:lang w:eastAsia="ar-SA"/>
              </w:rPr>
              <w:t>.000,00</w:t>
            </w:r>
            <w:r w:rsidRPr="009E0336">
              <w:rPr>
                <w:rFonts w:ascii="Times New Roman" w:eastAsia="Times New Roman" w:hAnsi="Times New Roman" w:cs="Times New Roman"/>
                <w:kern w:val="0"/>
                <w:sz w:val="20"/>
                <w:szCs w:val="20"/>
                <w:lang w:eastAsia="ar-SA"/>
              </w:rPr>
              <w:t xml:space="preserve"> € u </w:t>
            </w:r>
            <w:r w:rsidR="001B65FA" w:rsidRPr="009E0336">
              <w:rPr>
                <w:rFonts w:ascii="Times New Roman" w:eastAsia="Times New Roman" w:hAnsi="Times New Roman" w:cs="Times New Roman"/>
                <w:kern w:val="0"/>
                <w:sz w:val="20"/>
                <w:szCs w:val="20"/>
                <w:lang w:eastAsia="ar-SA"/>
              </w:rPr>
              <w:t>202</w:t>
            </w:r>
            <w:r w:rsidR="00BD28A4" w:rsidRPr="009E0336">
              <w:rPr>
                <w:rFonts w:ascii="Times New Roman" w:eastAsia="Times New Roman" w:hAnsi="Times New Roman" w:cs="Times New Roman"/>
                <w:kern w:val="0"/>
                <w:sz w:val="20"/>
                <w:szCs w:val="20"/>
                <w:lang w:eastAsia="ar-SA"/>
              </w:rPr>
              <w:t>5</w:t>
            </w:r>
            <w:r w:rsidR="001B65FA" w:rsidRPr="009E0336">
              <w:rPr>
                <w:rFonts w:ascii="Times New Roman" w:eastAsia="Times New Roman" w:hAnsi="Times New Roman" w:cs="Times New Roman"/>
                <w:kern w:val="0"/>
                <w:sz w:val="20"/>
                <w:szCs w:val="20"/>
                <w:lang w:eastAsia="ar-SA"/>
              </w:rPr>
              <w:t>.g. U svakoj iduć</w:t>
            </w:r>
            <w:r w:rsidR="009F4167" w:rsidRPr="009E0336">
              <w:rPr>
                <w:rFonts w:ascii="Times New Roman" w:eastAsia="Times New Roman" w:hAnsi="Times New Roman" w:cs="Times New Roman"/>
                <w:kern w:val="0"/>
                <w:sz w:val="20"/>
                <w:szCs w:val="20"/>
                <w:lang w:eastAsia="ar-SA"/>
              </w:rPr>
              <w:t>oj</w:t>
            </w:r>
            <w:r w:rsidR="001B65FA" w:rsidRPr="009E0336">
              <w:rPr>
                <w:rFonts w:ascii="Times New Roman" w:eastAsia="Times New Roman" w:hAnsi="Times New Roman" w:cs="Times New Roman"/>
                <w:kern w:val="0"/>
                <w:sz w:val="20"/>
                <w:szCs w:val="20"/>
                <w:lang w:eastAsia="ar-SA"/>
              </w:rPr>
              <w:t xml:space="preserve"> godin</w:t>
            </w:r>
            <w:r w:rsidR="009F4167" w:rsidRPr="009E0336">
              <w:rPr>
                <w:rFonts w:ascii="Times New Roman" w:eastAsia="Times New Roman" w:hAnsi="Times New Roman" w:cs="Times New Roman"/>
                <w:kern w:val="0"/>
                <w:sz w:val="20"/>
                <w:szCs w:val="20"/>
                <w:lang w:eastAsia="ar-SA"/>
              </w:rPr>
              <w:t>i</w:t>
            </w:r>
            <w:r w:rsidR="001B65FA" w:rsidRPr="009E0336">
              <w:rPr>
                <w:rFonts w:ascii="Times New Roman" w:eastAsia="Times New Roman" w:hAnsi="Times New Roman" w:cs="Times New Roman"/>
                <w:kern w:val="0"/>
                <w:sz w:val="20"/>
                <w:szCs w:val="20"/>
                <w:lang w:eastAsia="ar-SA"/>
              </w:rPr>
              <w:t xml:space="preserve"> planira se povećanje samo rashoda za zaposlene zbog minulog staža</w:t>
            </w:r>
            <w:r w:rsidR="00BD28A4" w:rsidRPr="009E0336">
              <w:rPr>
                <w:rFonts w:ascii="Times New Roman" w:eastAsia="Times New Roman" w:hAnsi="Times New Roman" w:cs="Times New Roman"/>
                <w:kern w:val="0"/>
                <w:sz w:val="20"/>
                <w:szCs w:val="20"/>
                <w:lang w:eastAsia="ar-SA"/>
              </w:rPr>
              <w:t>.</w:t>
            </w:r>
          </w:p>
        </w:tc>
      </w:tr>
      <w:tr w:rsidR="00FA6BF1" w:rsidRPr="009E0336" w14:paraId="39812A13" w14:textId="77777777">
        <w:trPr>
          <w:trHeight w:val="257"/>
        </w:trPr>
        <w:tc>
          <w:tcPr>
            <w:tcW w:w="9402"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tbl>
            <w:tblPr>
              <w:tblW w:w="9209" w:type="dxa"/>
              <w:tblLayout w:type="fixed"/>
              <w:tblCellMar>
                <w:left w:w="10" w:type="dxa"/>
                <w:right w:w="10" w:type="dxa"/>
              </w:tblCellMar>
              <w:tblLook w:val="04A0" w:firstRow="1" w:lastRow="0" w:firstColumn="1" w:lastColumn="0" w:noHBand="0" w:noVBand="1"/>
            </w:tblPr>
            <w:tblGrid>
              <w:gridCol w:w="1580"/>
              <w:gridCol w:w="1378"/>
              <w:gridCol w:w="1492"/>
              <w:gridCol w:w="1492"/>
              <w:gridCol w:w="1566"/>
              <w:gridCol w:w="1701"/>
            </w:tblGrid>
            <w:tr w:rsidR="002113AC" w:rsidRPr="009E0336" w14:paraId="596F3325" w14:textId="77777777">
              <w:trPr>
                <w:trHeight w:val="219"/>
              </w:trPr>
              <w:tc>
                <w:tcPr>
                  <w:tcW w:w="158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75BC559F" w14:textId="3252AFF2" w:rsidR="002113AC" w:rsidRPr="009E0336" w:rsidRDefault="002113AC" w:rsidP="002113AC">
                  <w:pPr>
                    <w:widowControl/>
                    <w:spacing w:after="0" w:line="240" w:lineRule="auto"/>
                    <w:jc w:val="center"/>
                    <w:textAlignment w:val="baseline"/>
                    <w:rPr>
                      <w:rFonts w:ascii="Times New Roman" w:hAnsi="Times New Roman" w:cs="Times New Roman"/>
                      <w:sz w:val="20"/>
                      <w:szCs w:val="20"/>
                    </w:rPr>
                  </w:pPr>
                  <w:r w:rsidRPr="009E0336">
                    <w:rPr>
                      <w:rFonts w:ascii="Times New Roman" w:hAnsi="Times New Roman" w:cs="Times New Roman"/>
                      <w:b/>
                      <w:bCs/>
                      <w:color w:val="000000"/>
                      <w:sz w:val="20"/>
                      <w:szCs w:val="20"/>
                    </w:rPr>
                    <w:t>Izvršeno 2023.</w:t>
                  </w:r>
                </w:p>
              </w:tc>
              <w:tc>
                <w:tcPr>
                  <w:tcW w:w="1378"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52DBB68" w14:textId="647C38A6" w:rsidR="002113AC" w:rsidRPr="009E0336" w:rsidRDefault="002113AC" w:rsidP="002113AC">
                  <w:pPr>
                    <w:widowControl/>
                    <w:spacing w:after="0" w:line="240" w:lineRule="auto"/>
                    <w:jc w:val="center"/>
                    <w:textAlignment w:val="baseline"/>
                    <w:rPr>
                      <w:rFonts w:ascii="Times New Roman" w:hAnsi="Times New Roman" w:cs="Times New Roman"/>
                      <w:sz w:val="20"/>
                      <w:szCs w:val="20"/>
                    </w:rPr>
                  </w:pPr>
                  <w:r w:rsidRPr="009E0336">
                    <w:rPr>
                      <w:rFonts w:ascii="Times New Roman" w:hAnsi="Times New Roman" w:cs="Times New Roman"/>
                      <w:b/>
                      <w:bCs/>
                      <w:color w:val="000000"/>
                      <w:sz w:val="20"/>
                      <w:szCs w:val="20"/>
                    </w:rPr>
                    <w:t>Financijski plan 2024.</w:t>
                  </w:r>
                </w:p>
              </w:tc>
              <w:tc>
                <w:tcPr>
                  <w:tcW w:w="149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67B6E5B" w14:textId="543D1668" w:rsidR="002113AC" w:rsidRPr="009E0336" w:rsidRDefault="002113AC" w:rsidP="002113AC">
                  <w:pPr>
                    <w:widowControl/>
                    <w:spacing w:after="0" w:line="240" w:lineRule="auto"/>
                    <w:jc w:val="center"/>
                    <w:textAlignment w:val="baseline"/>
                    <w:rPr>
                      <w:rFonts w:ascii="Times New Roman" w:hAnsi="Times New Roman" w:cs="Times New Roman"/>
                      <w:sz w:val="20"/>
                      <w:szCs w:val="20"/>
                    </w:rPr>
                  </w:pPr>
                  <w:r w:rsidRPr="009E0336">
                    <w:rPr>
                      <w:rFonts w:ascii="Times New Roman" w:hAnsi="Times New Roman" w:cs="Times New Roman"/>
                      <w:b/>
                      <w:bCs/>
                      <w:color w:val="000000"/>
                      <w:sz w:val="20"/>
                      <w:szCs w:val="20"/>
                    </w:rPr>
                    <w:t>I. Rebalans 2024.</w:t>
                  </w:r>
                </w:p>
              </w:tc>
              <w:tc>
                <w:tcPr>
                  <w:tcW w:w="149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8457046" w14:textId="17915F9E" w:rsidR="002113AC" w:rsidRPr="009E0336" w:rsidRDefault="002113AC" w:rsidP="002113AC">
                  <w:pPr>
                    <w:widowControl/>
                    <w:spacing w:after="0" w:line="240" w:lineRule="auto"/>
                    <w:jc w:val="center"/>
                    <w:textAlignment w:val="baseline"/>
                    <w:rPr>
                      <w:rFonts w:ascii="Times New Roman" w:hAnsi="Times New Roman" w:cs="Times New Roman"/>
                      <w:sz w:val="20"/>
                      <w:szCs w:val="20"/>
                    </w:rPr>
                  </w:pPr>
                  <w:r w:rsidRPr="009E0336">
                    <w:rPr>
                      <w:rFonts w:ascii="Times New Roman" w:hAnsi="Times New Roman" w:cs="Times New Roman"/>
                      <w:b/>
                      <w:bCs/>
                      <w:color w:val="000000"/>
                      <w:sz w:val="20"/>
                      <w:szCs w:val="20"/>
                    </w:rPr>
                    <w:t>Plan 2025.</w:t>
                  </w:r>
                </w:p>
              </w:tc>
              <w:tc>
                <w:tcPr>
                  <w:tcW w:w="1566"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7AF117C0" w14:textId="146FE897" w:rsidR="002113AC" w:rsidRPr="009E0336" w:rsidRDefault="002113AC" w:rsidP="002113AC">
                  <w:pPr>
                    <w:widowControl/>
                    <w:spacing w:after="0" w:line="240" w:lineRule="auto"/>
                    <w:jc w:val="center"/>
                    <w:textAlignment w:val="baseline"/>
                    <w:rPr>
                      <w:rFonts w:ascii="Times New Roman" w:hAnsi="Times New Roman" w:cs="Times New Roman"/>
                      <w:sz w:val="20"/>
                      <w:szCs w:val="20"/>
                    </w:rPr>
                  </w:pPr>
                  <w:r w:rsidRPr="009E0336">
                    <w:rPr>
                      <w:rFonts w:ascii="Times New Roman" w:hAnsi="Times New Roman" w:cs="Times New Roman"/>
                      <w:b/>
                      <w:bCs/>
                      <w:color w:val="000000"/>
                      <w:sz w:val="20"/>
                      <w:szCs w:val="20"/>
                    </w:rPr>
                    <w:t>Projekcija 2026.</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E29174A" w14:textId="7A57FA58" w:rsidR="002113AC" w:rsidRPr="009E0336" w:rsidRDefault="002113AC" w:rsidP="002113AC">
                  <w:pPr>
                    <w:widowControl/>
                    <w:spacing w:after="0" w:line="240" w:lineRule="auto"/>
                    <w:jc w:val="center"/>
                    <w:textAlignment w:val="baseline"/>
                    <w:rPr>
                      <w:rFonts w:ascii="Times New Roman" w:hAnsi="Times New Roman" w:cs="Times New Roman"/>
                      <w:sz w:val="20"/>
                      <w:szCs w:val="20"/>
                    </w:rPr>
                  </w:pPr>
                  <w:r w:rsidRPr="009E0336">
                    <w:rPr>
                      <w:rFonts w:ascii="Times New Roman" w:hAnsi="Times New Roman" w:cs="Times New Roman"/>
                      <w:b/>
                      <w:bCs/>
                      <w:color w:val="000000"/>
                      <w:sz w:val="20"/>
                      <w:szCs w:val="20"/>
                    </w:rPr>
                    <w:t>Projekcija 2027.</w:t>
                  </w:r>
                </w:p>
              </w:tc>
            </w:tr>
            <w:tr w:rsidR="002113AC" w:rsidRPr="009E0336" w14:paraId="59D9EBCD" w14:textId="77777777">
              <w:trPr>
                <w:trHeight w:val="219"/>
              </w:trPr>
              <w:tc>
                <w:tcPr>
                  <w:tcW w:w="15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09F44D" w14:textId="76B7DC38" w:rsidR="002113AC" w:rsidRPr="009E0336" w:rsidRDefault="002113AC" w:rsidP="002113AC">
                  <w:pPr>
                    <w:widowControl/>
                    <w:spacing w:after="0" w:line="240" w:lineRule="auto"/>
                    <w:jc w:val="right"/>
                    <w:textAlignment w:val="baseline"/>
                    <w:rPr>
                      <w:rFonts w:ascii="Times New Roman" w:hAnsi="Times New Roman" w:cs="Times New Roman"/>
                      <w:b/>
                      <w:bCs/>
                      <w:sz w:val="20"/>
                      <w:szCs w:val="20"/>
                    </w:rPr>
                  </w:pPr>
                  <w:r w:rsidRPr="009E0336">
                    <w:rPr>
                      <w:rFonts w:ascii="Times New Roman" w:hAnsi="Times New Roman" w:cs="Times New Roman"/>
                      <w:b/>
                      <w:bCs/>
                      <w:sz w:val="20"/>
                      <w:szCs w:val="20"/>
                    </w:rPr>
                    <w:t>0,00 €</w:t>
                  </w:r>
                </w:p>
              </w:tc>
              <w:tc>
                <w:tcPr>
                  <w:tcW w:w="1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EDE9FE" w14:textId="6CD60E0F" w:rsidR="002113AC" w:rsidRPr="009E0336" w:rsidRDefault="00704F6C" w:rsidP="002113AC">
                  <w:pPr>
                    <w:widowControl/>
                    <w:spacing w:after="0" w:line="240" w:lineRule="auto"/>
                    <w:jc w:val="right"/>
                    <w:textAlignment w:val="baseline"/>
                    <w:rPr>
                      <w:rFonts w:ascii="Times New Roman" w:hAnsi="Times New Roman" w:cs="Times New Roman"/>
                      <w:b/>
                      <w:bCs/>
                      <w:sz w:val="20"/>
                      <w:szCs w:val="20"/>
                    </w:rPr>
                  </w:pPr>
                  <w:r w:rsidRPr="009E0336">
                    <w:rPr>
                      <w:rFonts w:ascii="Times New Roman" w:hAnsi="Times New Roman" w:cs="Times New Roman"/>
                      <w:b/>
                      <w:bCs/>
                      <w:sz w:val="20"/>
                      <w:szCs w:val="20"/>
                    </w:rPr>
                    <w:t>14.000,00</w:t>
                  </w:r>
                  <w:r w:rsidR="002113AC" w:rsidRPr="009E0336">
                    <w:rPr>
                      <w:rFonts w:ascii="Times New Roman" w:hAnsi="Times New Roman" w:cs="Times New Roman"/>
                      <w:b/>
                      <w:bCs/>
                      <w:sz w:val="20"/>
                      <w:szCs w:val="20"/>
                    </w:rPr>
                    <w:t xml:space="preserve"> €</w:t>
                  </w:r>
                </w:p>
              </w:tc>
              <w:tc>
                <w:tcPr>
                  <w:tcW w:w="14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367BB4" w14:textId="3E7D8605" w:rsidR="002113AC" w:rsidRPr="009E0336" w:rsidRDefault="00704F6C" w:rsidP="002113AC">
                  <w:pPr>
                    <w:widowControl/>
                    <w:spacing w:after="0" w:line="240" w:lineRule="auto"/>
                    <w:jc w:val="right"/>
                    <w:textAlignment w:val="baseline"/>
                    <w:rPr>
                      <w:rFonts w:ascii="Times New Roman" w:hAnsi="Times New Roman" w:cs="Times New Roman"/>
                      <w:b/>
                      <w:bCs/>
                      <w:sz w:val="20"/>
                      <w:szCs w:val="20"/>
                    </w:rPr>
                  </w:pPr>
                  <w:r w:rsidRPr="009E0336">
                    <w:rPr>
                      <w:rFonts w:ascii="Times New Roman" w:hAnsi="Times New Roman" w:cs="Times New Roman"/>
                      <w:b/>
                      <w:bCs/>
                      <w:sz w:val="20"/>
                      <w:szCs w:val="20"/>
                    </w:rPr>
                    <w:t>14.000,00</w:t>
                  </w:r>
                  <w:r w:rsidR="002113AC" w:rsidRPr="009E0336">
                    <w:rPr>
                      <w:rFonts w:ascii="Times New Roman" w:hAnsi="Times New Roman" w:cs="Times New Roman"/>
                      <w:b/>
                      <w:bCs/>
                      <w:sz w:val="20"/>
                      <w:szCs w:val="20"/>
                    </w:rPr>
                    <w:t xml:space="preserve"> €</w:t>
                  </w:r>
                </w:p>
              </w:tc>
              <w:tc>
                <w:tcPr>
                  <w:tcW w:w="14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349EB5" w14:textId="0B7DFAD1" w:rsidR="002113AC" w:rsidRPr="009E0336" w:rsidRDefault="002113AC" w:rsidP="002113AC">
                  <w:pPr>
                    <w:widowControl/>
                    <w:spacing w:after="0" w:line="240" w:lineRule="auto"/>
                    <w:jc w:val="right"/>
                    <w:textAlignment w:val="baseline"/>
                    <w:rPr>
                      <w:rFonts w:ascii="Times New Roman" w:hAnsi="Times New Roman" w:cs="Times New Roman"/>
                      <w:b/>
                      <w:bCs/>
                      <w:sz w:val="20"/>
                      <w:szCs w:val="20"/>
                    </w:rPr>
                  </w:pPr>
                  <w:r w:rsidRPr="009E0336">
                    <w:rPr>
                      <w:rFonts w:ascii="Times New Roman" w:hAnsi="Times New Roman" w:cs="Times New Roman"/>
                      <w:b/>
                      <w:bCs/>
                      <w:sz w:val="20"/>
                      <w:szCs w:val="20"/>
                    </w:rPr>
                    <w:t>1</w:t>
                  </w:r>
                  <w:r w:rsidR="004A20AD" w:rsidRPr="009E0336">
                    <w:rPr>
                      <w:rFonts w:ascii="Times New Roman" w:hAnsi="Times New Roman" w:cs="Times New Roman"/>
                      <w:b/>
                      <w:bCs/>
                      <w:sz w:val="20"/>
                      <w:szCs w:val="20"/>
                    </w:rPr>
                    <w:t>5</w:t>
                  </w:r>
                  <w:r w:rsidRPr="009E0336">
                    <w:rPr>
                      <w:rFonts w:ascii="Times New Roman" w:hAnsi="Times New Roman" w:cs="Times New Roman"/>
                      <w:b/>
                      <w:bCs/>
                      <w:sz w:val="20"/>
                      <w:szCs w:val="20"/>
                    </w:rPr>
                    <w:t>.000,00 €</w:t>
                  </w:r>
                </w:p>
              </w:tc>
              <w:tc>
                <w:tcPr>
                  <w:tcW w:w="15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B931F7" w14:textId="32245E54" w:rsidR="002113AC" w:rsidRPr="009E0336" w:rsidRDefault="002113AC" w:rsidP="002113AC">
                  <w:pPr>
                    <w:widowControl/>
                    <w:spacing w:after="0" w:line="240" w:lineRule="auto"/>
                    <w:jc w:val="right"/>
                    <w:textAlignment w:val="baseline"/>
                    <w:rPr>
                      <w:rFonts w:ascii="Times New Roman" w:hAnsi="Times New Roman" w:cs="Times New Roman"/>
                      <w:b/>
                      <w:bCs/>
                      <w:sz w:val="20"/>
                      <w:szCs w:val="20"/>
                    </w:rPr>
                  </w:pPr>
                  <w:r w:rsidRPr="009E0336">
                    <w:rPr>
                      <w:rFonts w:ascii="Times New Roman" w:hAnsi="Times New Roman" w:cs="Times New Roman"/>
                      <w:b/>
                      <w:bCs/>
                      <w:sz w:val="20"/>
                      <w:szCs w:val="20"/>
                    </w:rPr>
                    <w:t>1</w:t>
                  </w:r>
                  <w:r w:rsidR="004A20AD" w:rsidRPr="009E0336">
                    <w:rPr>
                      <w:rFonts w:ascii="Times New Roman" w:hAnsi="Times New Roman" w:cs="Times New Roman"/>
                      <w:b/>
                      <w:bCs/>
                      <w:sz w:val="20"/>
                      <w:szCs w:val="20"/>
                    </w:rPr>
                    <w:t>6</w:t>
                  </w:r>
                  <w:r w:rsidRPr="009E0336">
                    <w:rPr>
                      <w:rFonts w:ascii="Times New Roman" w:hAnsi="Times New Roman" w:cs="Times New Roman"/>
                      <w:b/>
                      <w:bCs/>
                      <w:sz w:val="20"/>
                      <w:szCs w:val="20"/>
                    </w:rPr>
                    <w:t>.</w:t>
                  </w:r>
                  <w:r w:rsidR="004A20AD" w:rsidRPr="009E0336">
                    <w:rPr>
                      <w:rFonts w:ascii="Times New Roman" w:hAnsi="Times New Roman" w:cs="Times New Roman"/>
                      <w:b/>
                      <w:bCs/>
                      <w:sz w:val="20"/>
                      <w:szCs w:val="20"/>
                    </w:rPr>
                    <w:t>0</w:t>
                  </w:r>
                  <w:r w:rsidRPr="009E0336">
                    <w:rPr>
                      <w:rFonts w:ascii="Times New Roman" w:hAnsi="Times New Roman" w:cs="Times New Roman"/>
                      <w:b/>
                      <w:bCs/>
                      <w:sz w:val="20"/>
                      <w:szCs w:val="20"/>
                    </w:rPr>
                    <w:t>00,00 €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5BE8AA6" w14:textId="4161C1AE" w:rsidR="002113AC" w:rsidRPr="009E0336" w:rsidRDefault="002113AC" w:rsidP="002113AC">
                  <w:pPr>
                    <w:widowControl/>
                    <w:spacing w:after="0" w:line="240" w:lineRule="auto"/>
                    <w:jc w:val="right"/>
                    <w:textAlignment w:val="baseline"/>
                    <w:rPr>
                      <w:rFonts w:ascii="Times New Roman" w:hAnsi="Times New Roman" w:cs="Times New Roman"/>
                      <w:b/>
                      <w:bCs/>
                      <w:sz w:val="20"/>
                      <w:szCs w:val="20"/>
                    </w:rPr>
                  </w:pPr>
                  <w:r w:rsidRPr="009E0336">
                    <w:rPr>
                      <w:rFonts w:ascii="Times New Roman" w:hAnsi="Times New Roman" w:cs="Times New Roman"/>
                      <w:b/>
                      <w:bCs/>
                      <w:sz w:val="20"/>
                      <w:szCs w:val="20"/>
                    </w:rPr>
                    <w:t>1</w:t>
                  </w:r>
                  <w:r w:rsidR="004A20AD" w:rsidRPr="009E0336">
                    <w:rPr>
                      <w:rFonts w:ascii="Times New Roman" w:hAnsi="Times New Roman" w:cs="Times New Roman"/>
                      <w:b/>
                      <w:bCs/>
                      <w:sz w:val="20"/>
                      <w:szCs w:val="20"/>
                    </w:rPr>
                    <w:t>7</w:t>
                  </w:r>
                  <w:r w:rsidRPr="009E0336">
                    <w:rPr>
                      <w:rFonts w:ascii="Times New Roman" w:hAnsi="Times New Roman" w:cs="Times New Roman"/>
                      <w:b/>
                      <w:bCs/>
                      <w:sz w:val="20"/>
                      <w:szCs w:val="20"/>
                    </w:rPr>
                    <w:t>.</w:t>
                  </w:r>
                  <w:r w:rsidR="004A20AD" w:rsidRPr="009E0336">
                    <w:rPr>
                      <w:rFonts w:ascii="Times New Roman" w:hAnsi="Times New Roman" w:cs="Times New Roman"/>
                      <w:b/>
                      <w:bCs/>
                      <w:sz w:val="20"/>
                      <w:szCs w:val="20"/>
                    </w:rPr>
                    <w:t>0</w:t>
                  </w:r>
                  <w:r w:rsidRPr="009E0336">
                    <w:rPr>
                      <w:rFonts w:ascii="Times New Roman" w:hAnsi="Times New Roman" w:cs="Times New Roman"/>
                      <w:b/>
                      <w:bCs/>
                      <w:sz w:val="20"/>
                      <w:szCs w:val="20"/>
                    </w:rPr>
                    <w:t>00,00 €</w:t>
                  </w:r>
                </w:p>
              </w:tc>
            </w:tr>
          </w:tbl>
          <w:p w14:paraId="18380E16" w14:textId="77777777" w:rsidR="00FA6BF1" w:rsidRPr="009E0336" w:rsidRDefault="00FA6BF1">
            <w:pPr>
              <w:widowControl/>
              <w:spacing w:after="0" w:line="240" w:lineRule="auto"/>
              <w:textAlignment w:val="baseline"/>
              <w:rPr>
                <w:rFonts w:ascii="Times New Roman" w:eastAsia="Times New Roman" w:hAnsi="Times New Roman" w:cs="Times New Roman"/>
                <w:bCs/>
                <w:color w:val="000000"/>
                <w:sz w:val="20"/>
                <w:szCs w:val="20"/>
                <w:lang w:eastAsia="hr-HR"/>
              </w:rPr>
            </w:pPr>
          </w:p>
        </w:tc>
      </w:tr>
      <w:tr w:rsidR="00FA6BF1" w:rsidRPr="009E0336" w14:paraId="29820B71" w14:textId="77777777">
        <w:trPr>
          <w:trHeight w:val="257"/>
        </w:trPr>
        <w:tc>
          <w:tcPr>
            <w:tcW w:w="11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B37EAB4" w14:textId="77B3CAB9" w:rsidR="00FA6BF1" w:rsidRPr="009E0336" w:rsidRDefault="00091387">
            <w:pPr>
              <w:widowControl/>
              <w:spacing w:after="0" w:line="240" w:lineRule="auto"/>
              <w:textAlignment w:val="baseline"/>
              <w:rPr>
                <w:rFonts w:ascii="Times New Roman" w:hAnsi="Times New Roman" w:cs="Times New Roman"/>
                <w:sz w:val="20"/>
                <w:szCs w:val="20"/>
              </w:rPr>
            </w:pPr>
            <w:r w:rsidRPr="009E0336">
              <w:rPr>
                <w:rFonts w:ascii="Times New Roman" w:eastAsia="Times New Roman" w:hAnsi="Times New Roman" w:cs="Times New Roman"/>
                <w:b/>
                <w:color w:val="000000"/>
                <w:sz w:val="20"/>
                <w:szCs w:val="20"/>
                <w:lang w:eastAsia="hr-HR"/>
              </w:rPr>
              <w:t>Obrazloženja odstupanja od projekcija za 202</w:t>
            </w:r>
            <w:r w:rsidR="00F815A1" w:rsidRPr="009E0336">
              <w:rPr>
                <w:rFonts w:ascii="Times New Roman" w:eastAsia="Times New Roman" w:hAnsi="Times New Roman" w:cs="Times New Roman"/>
                <w:b/>
                <w:color w:val="000000"/>
                <w:sz w:val="20"/>
                <w:szCs w:val="20"/>
                <w:lang w:eastAsia="hr-HR"/>
              </w:rPr>
              <w:t>5</w:t>
            </w:r>
            <w:r w:rsidRPr="009E0336">
              <w:rPr>
                <w:rFonts w:ascii="Times New Roman" w:eastAsia="Times New Roman" w:hAnsi="Times New Roman" w:cs="Times New Roman"/>
                <w:b/>
                <w:color w:val="000000"/>
                <w:sz w:val="20"/>
                <w:szCs w:val="20"/>
                <w:lang w:eastAsia="hr-HR"/>
              </w:rPr>
              <w:t>. i 202</w:t>
            </w:r>
            <w:r w:rsidR="00F815A1" w:rsidRPr="009E0336">
              <w:rPr>
                <w:rFonts w:ascii="Times New Roman" w:eastAsia="Times New Roman" w:hAnsi="Times New Roman" w:cs="Times New Roman"/>
                <w:b/>
                <w:color w:val="000000"/>
                <w:sz w:val="20"/>
                <w:szCs w:val="20"/>
                <w:lang w:eastAsia="hr-HR"/>
              </w:rPr>
              <w:t>6</w:t>
            </w:r>
            <w:r w:rsidRPr="009E0336">
              <w:rPr>
                <w:rFonts w:ascii="Times New Roman" w:eastAsia="Times New Roman" w:hAnsi="Times New Roman" w:cs="Times New Roman"/>
                <w:b/>
                <w:color w:val="000000"/>
                <w:sz w:val="20"/>
                <w:szCs w:val="20"/>
                <w:lang w:eastAsia="hr-HR"/>
              </w:rPr>
              <w:t>. usvojenih u prošlogodišnjem Proračunu</w:t>
            </w:r>
          </w:p>
        </w:tc>
        <w:tc>
          <w:tcPr>
            <w:tcW w:w="822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33C007" w14:textId="77777777" w:rsidR="00FA6BF1" w:rsidRPr="009E0336" w:rsidRDefault="00FA6BF1" w:rsidP="00C97AA2">
            <w:pPr>
              <w:widowControl/>
              <w:spacing w:after="0" w:line="240" w:lineRule="auto"/>
              <w:textAlignment w:val="baseline"/>
              <w:rPr>
                <w:rFonts w:ascii="Times New Roman" w:eastAsia="Times New Roman" w:hAnsi="Times New Roman" w:cs="Times New Roman"/>
                <w:i/>
                <w:color w:val="FF0000"/>
                <w:sz w:val="20"/>
                <w:szCs w:val="20"/>
                <w:lang w:eastAsia="hr-HR"/>
              </w:rPr>
            </w:pPr>
          </w:p>
          <w:p w14:paraId="035C8240" w14:textId="056B576E" w:rsidR="009F4167" w:rsidRPr="009E0336" w:rsidRDefault="001B65FA" w:rsidP="009F4167">
            <w:pPr>
              <w:widowControl/>
              <w:snapToGrid w:val="0"/>
              <w:spacing w:after="0" w:line="240" w:lineRule="auto"/>
              <w:jc w:val="both"/>
              <w:rPr>
                <w:rFonts w:ascii="Times New Roman" w:eastAsia="Times New Roman" w:hAnsi="Times New Roman" w:cs="Times New Roman"/>
                <w:bCs/>
                <w:kern w:val="0"/>
                <w:sz w:val="20"/>
                <w:szCs w:val="20"/>
                <w:lang w:eastAsia="ar-SA"/>
              </w:rPr>
            </w:pPr>
            <w:r w:rsidRPr="009E0336">
              <w:rPr>
                <w:rFonts w:ascii="Times New Roman" w:hAnsi="Times New Roman" w:cs="Times New Roman"/>
                <w:bCs/>
                <w:color w:val="000000"/>
                <w:sz w:val="20"/>
                <w:szCs w:val="20"/>
              </w:rPr>
              <w:t xml:space="preserve">U odnosu na prošlogodišnje projekcije ova aktivnost je povećana za </w:t>
            </w:r>
            <w:r w:rsidR="00BD28A4" w:rsidRPr="009E0336">
              <w:rPr>
                <w:rFonts w:ascii="Times New Roman" w:hAnsi="Times New Roman" w:cs="Times New Roman"/>
                <w:bCs/>
                <w:color w:val="000000"/>
                <w:sz w:val="20"/>
                <w:szCs w:val="20"/>
              </w:rPr>
              <w:t>6,4</w:t>
            </w:r>
            <w:r w:rsidRPr="009E0336">
              <w:rPr>
                <w:rFonts w:ascii="Times New Roman" w:hAnsi="Times New Roman" w:cs="Times New Roman"/>
                <w:bCs/>
                <w:color w:val="000000"/>
                <w:sz w:val="20"/>
                <w:szCs w:val="20"/>
              </w:rPr>
              <w:t xml:space="preserve"> % u 202</w:t>
            </w:r>
            <w:r w:rsidR="00BD28A4" w:rsidRPr="009E0336">
              <w:rPr>
                <w:rFonts w:ascii="Times New Roman" w:hAnsi="Times New Roman" w:cs="Times New Roman"/>
                <w:bCs/>
                <w:color w:val="000000"/>
                <w:sz w:val="20"/>
                <w:szCs w:val="20"/>
              </w:rPr>
              <w:t>5</w:t>
            </w:r>
            <w:r w:rsidRPr="009E0336">
              <w:rPr>
                <w:rFonts w:ascii="Times New Roman" w:hAnsi="Times New Roman" w:cs="Times New Roman"/>
                <w:bCs/>
                <w:color w:val="000000"/>
                <w:sz w:val="20"/>
                <w:szCs w:val="20"/>
              </w:rPr>
              <w:t xml:space="preserve">.g. i za </w:t>
            </w:r>
            <w:r w:rsidR="00BD28A4" w:rsidRPr="009E0336">
              <w:rPr>
                <w:rFonts w:ascii="Times New Roman" w:hAnsi="Times New Roman" w:cs="Times New Roman"/>
                <w:bCs/>
                <w:color w:val="000000"/>
                <w:sz w:val="20"/>
                <w:szCs w:val="20"/>
              </w:rPr>
              <w:t>12,7</w:t>
            </w:r>
            <w:r w:rsidRPr="009E0336">
              <w:rPr>
                <w:rFonts w:ascii="Times New Roman" w:hAnsi="Times New Roman" w:cs="Times New Roman"/>
                <w:bCs/>
                <w:color w:val="000000"/>
                <w:sz w:val="20"/>
                <w:szCs w:val="20"/>
              </w:rPr>
              <w:t xml:space="preserve"> % u 202</w:t>
            </w:r>
            <w:r w:rsidR="00BD28A4" w:rsidRPr="009E0336">
              <w:rPr>
                <w:rFonts w:ascii="Times New Roman" w:hAnsi="Times New Roman" w:cs="Times New Roman"/>
                <w:bCs/>
                <w:color w:val="000000"/>
                <w:sz w:val="20"/>
                <w:szCs w:val="20"/>
              </w:rPr>
              <w:t>6</w:t>
            </w:r>
            <w:r w:rsidRPr="009E0336">
              <w:rPr>
                <w:rFonts w:ascii="Times New Roman" w:hAnsi="Times New Roman" w:cs="Times New Roman"/>
                <w:bCs/>
                <w:color w:val="000000"/>
                <w:sz w:val="20"/>
                <w:szCs w:val="20"/>
              </w:rPr>
              <w:t xml:space="preserve">.g. Razlog navedenog povećanja je u </w:t>
            </w:r>
            <w:r w:rsidR="009F4167" w:rsidRPr="009E0336">
              <w:rPr>
                <w:rFonts w:ascii="Times New Roman" w:hAnsi="Times New Roman" w:cs="Times New Roman"/>
                <w:iCs/>
                <w:sz w:val="20"/>
                <w:szCs w:val="20"/>
              </w:rPr>
              <w:t xml:space="preserve">većim koeficijentima za obračun plaća prema </w:t>
            </w:r>
            <w:r w:rsidR="009F4167" w:rsidRPr="009E0336">
              <w:rPr>
                <w:rFonts w:ascii="Times New Roman" w:hAnsi="Times New Roman" w:cs="Times New Roman"/>
                <w:sz w:val="20"/>
                <w:szCs w:val="20"/>
              </w:rPr>
              <w:t>Uredbi o nazivima radnih mjesta, uvjetima za raspored i koeficijentima za obračun plaće u javnim službama</w:t>
            </w:r>
            <w:r w:rsidR="009F4167" w:rsidRPr="009E0336">
              <w:rPr>
                <w:rFonts w:ascii="Times New Roman" w:hAnsi="Times New Roman" w:cs="Times New Roman"/>
                <w:bCs/>
                <w:color w:val="000000"/>
                <w:sz w:val="20"/>
                <w:szCs w:val="20"/>
              </w:rPr>
              <w:t xml:space="preserve"> što nije bilo poznato prilikom izrade prošlogodišnjih projekcija.</w:t>
            </w:r>
          </w:p>
          <w:p w14:paraId="0EFD7B5D" w14:textId="77777777" w:rsidR="009F4167" w:rsidRPr="009E0336" w:rsidRDefault="009F4167" w:rsidP="009F4167">
            <w:pPr>
              <w:widowControl/>
              <w:snapToGrid w:val="0"/>
              <w:spacing w:after="0" w:line="240" w:lineRule="auto"/>
              <w:jc w:val="both"/>
              <w:rPr>
                <w:rFonts w:ascii="Times New Roman" w:eastAsia="Times New Roman" w:hAnsi="Times New Roman" w:cs="Times New Roman"/>
                <w:bCs/>
                <w:kern w:val="0"/>
                <w:sz w:val="20"/>
                <w:szCs w:val="20"/>
                <w:lang w:eastAsia="ar-SA"/>
              </w:rPr>
            </w:pPr>
          </w:p>
          <w:p w14:paraId="3B0AD45F" w14:textId="2D725569" w:rsidR="00FA6BF1" w:rsidRPr="009E0336" w:rsidRDefault="00FA6BF1" w:rsidP="00C97AA2">
            <w:pPr>
              <w:widowControl/>
              <w:spacing w:after="0" w:line="240" w:lineRule="auto"/>
              <w:textAlignment w:val="baseline"/>
              <w:rPr>
                <w:rFonts w:ascii="Times New Roman" w:eastAsia="Times New Roman" w:hAnsi="Times New Roman" w:cs="Times New Roman"/>
                <w:bCs/>
                <w:color w:val="000000"/>
                <w:sz w:val="20"/>
                <w:szCs w:val="20"/>
                <w:lang w:eastAsia="hr-HR"/>
              </w:rPr>
            </w:pPr>
          </w:p>
        </w:tc>
      </w:tr>
    </w:tbl>
    <w:p w14:paraId="7CFDBA19" w14:textId="77777777" w:rsidR="00FA6BF1" w:rsidRPr="009E0336" w:rsidRDefault="00FA6BF1">
      <w:pPr>
        <w:pStyle w:val="Standard"/>
        <w:rPr>
          <w:sz w:val="20"/>
          <w:szCs w:val="20"/>
        </w:rPr>
      </w:pPr>
    </w:p>
    <w:tbl>
      <w:tblPr>
        <w:tblW w:w="9401" w:type="dxa"/>
        <w:tblInd w:w="-108" w:type="dxa"/>
        <w:tblLayout w:type="fixed"/>
        <w:tblCellMar>
          <w:left w:w="10" w:type="dxa"/>
          <w:right w:w="10" w:type="dxa"/>
        </w:tblCellMar>
        <w:tblLook w:val="04A0" w:firstRow="1" w:lastRow="0" w:firstColumn="1" w:lastColumn="0" w:noHBand="0" w:noVBand="1"/>
      </w:tblPr>
      <w:tblGrid>
        <w:gridCol w:w="1245"/>
        <w:gridCol w:w="1050"/>
        <w:gridCol w:w="928"/>
        <w:gridCol w:w="1276"/>
        <w:gridCol w:w="1133"/>
        <w:gridCol w:w="1230"/>
        <w:gridCol w:w="1269"/>
        <w:gridCol w:w="1270"/>
      </w:tblGrid>
      <w:tr w:rsidR="00FA6BF1" w:rsidRPr="009E0336" w14:paraId="7AA8B172" w14:textId="77777777" w:rsidTr="007371FF">
        <w:trPr>
          <w:trHeight w:val="651"/>
        </w:trPr>
        <w:tc>
          <w:tcPr>
            <w:tcW w:w="1245"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2CD95F4C" w14:textId="77777777" w:rsidR="00FA6BF1" w:rsidRPr="009E0336" w:rsidRDefault="00091387">
            <w:pPr>
              <w:widowControl/>
              <w:spacing w:after="0" w:line="240" w:lineRule="auto"/>
              <w:textAlignment w:val="baseline"/>
              <w:rPr>
                <w:rFonts w:ascii="Times New Roman" w:hAnsi="Times New Roman" w:cs="Times New Roman"/>
                <w:sz w:val="20"/>
                <w:szCs w:val="20"/>
              </w:rPr>
            </w:pPr>
            <w:r w:rsidRPr="009E0336">
              <w:rPr>
                <w:rFonts w:ascii="Times New Roman" w:eastAsia="Times New Roman" w:hAnsi="Times New Roman" w:cs="Times New Roman"/>
                <w:b/>
                <w:sz w:val="20"/>
                <w:szCs w:val="20"/>
                <w:lang w:eastAsia="hr-HR"/>
              </w:rPr>
              <w:t>Pokazatelj rezultata</w:t>
            </w:r>
          </w:p>
        </w:tc>
        <w:tc>
          <w:tcPr>
            <w:tcW w:w="1050"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2A29B729" w14:textId="77777777" w:rsidR="00FA6BF1" w:rsidRPr="009E0336" w:rsidRDefault="00091387">
            <w:pPr>
              <w:widowControl/>
              <w:spacing w:after="0" w:line="240" w:lineRule="auto"/>
              <w:jc w:val="center"/>
              <w:textAlignment w:val="baseline"/>
              <w:rPr>
                <w:rFonts w:ascii="Times New Roman" w:hAnsi="Times New Roman" w:cs="Times New Roman"/>
                <w:sz w:val="20"/>
                <w:szCs w:val="20"/>
              </w:rPr>
            </w:pPr>
            <w:r w:rsidRPr="009E0336">
              <w:rPr>
                <w:rFonts w:ascii="Times New Roman" w:eastAsia="Times New Roman" w:hAnsi="Times New Roman" w:cs="Times New Roman"/>
                <w:b/>
                <w:sz w:val="20"/>
                <w:szCs w:val="20"/>
                <w:lang w:eastAsia="hr-HR"/>
              </w:rPr>
              <w:t>Definicija</w:t>
            </w:r>
          </w:p>
        </w:tc>
        <w:tc>
          <w:tcPr>
            <w:tcW w:w="928"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1D645D7D" w14:textId="77777777" w:rsidR="00FA6BF1" w:rsidRPr="009E0336" w:rsidRDefault="00091387">
            <w:pPr>
              <w:widowControl/>
              <w:spacing w:after="0" w:line="240" w:lineRule="auto"/>
              <w:jc w:val="center"/>
              <w:textAlignment w:val="baseline"/>
              <w:rPr>
                <w:rFonts w:ascii="Times New Roman" w:hAnsi="Times New Roman" w:cs="Times New Roman"/>
                <w:sz w:val="20"/>
                <w:szCs w:val="20"/>
              </w:rPr>
            </w:pPr>
            <w:r w:rsidRPr="009E0336">
              <w:rPr>
                <w:rFonts w:ascii="Times New Roman" w:eastAsia="Times New Roman" w:hAnsi="Times New Roman" w:cs="Times New Roman"/>
                <w:b/>
                <w:sz w:val="20"/>
                <w:szCs w:val="20"/>
                <w:lang w:eastAsia="hr-HR"/>
              </w:rPr>
              <w:t>Jedinica</w:t>
            </w:r>
          </w:p>
        </w:tc>
        <w:tc>
          <w:tcPr>
            <w:tcW w:w="1276"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2E6343BA" w14:textId="520442DD" w:rsidR="00FA6BF1" w:rsidRPr="009E0336" w:rsidRDefault="00091387">
            <w:pPr>
              <w:widowControl/>
              <w:spacing w:after="0" w:line="240" w:lineRule="auto"/>
              <w:jc w:val="center"/>
              <w:textAlignment w:val="baseline"/>
              <w:rPr>
                <w:rFonts w:ascii="Times New Roman" w:hAnsi="Times New Roman" w:cs="Times New Roman"/>
                <w:sz w:val="20"/>
                <w:szCs w:val="20"/>
              </w:rPr>
            </w:pPr>
            <w:r w:rsidRPr="009E0336">
              <w:rPr>
                <w:rFonts w:ascii="Times New Roman" w:eastAsia="Times New Roman" w:hAnsi="Times New Roman" w:cs="Times New Roman"/>
                <w:b/>
                <w:sz w:val="20"/>
                <w:szCs w:val="20"/>
                <w:lang w:eastAsia="hr-HR"/>
              </w:rPr>
              <w:t>Polazna vrijednost 202</w:t>
            </w:r>
            <w:r w:rsidR="007077C9" w:rsidRPr="009E0336">
              <w:rPr>
                <w:rFonts w:ascii="Times New Roman" w:eastAsia="Times New Roman" w:hAnsi="Times New Roman" w:cs="Times New Roman"/>
                <w:b/>
                <w:sz w:val="20"/>
                <w:szCs w:val="20"/>
                <w:lang w:eastAsia="hr-HR"/>
              </w:rPr>
              <w:t>4</w:t>
            </w:r>
            <w:r w:rsidRPr="009E0336">
              <w:rPr>
                <w:rFonts w:ascii="Times New Roman" w:eastAsia="Times New Roman" w:hAnsi="Times New Roman" w:cs="Times New Roman"/>
                <w:b/>
                <w:sz w:val="20"/>
                <w:szCs w:val="20"/>
                <w:lang w:eastAsia="hr-HR"/>
              </w:rPr>
              <w:t>.</w:t>
            </w:r>
          </w:p>
        </w:tc>
        <w:tc>
          <w:tcPr>
            <w:tcW w:w="1133"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3129FCB4" w14:textId="77777777" w:rsidR="00FA6BF1" w:rsidRPr="009E0336" w:rsidRDefault="00091387">
            <w:pPr>
              <w:widowControl/>
              <w:spacing w:after="0" w:line="240" w:lineRule="auto"/>
              <w:jc w:val="center"/>
              <w:textAlignment w:val="baseline"/>
              <w:rPr>
                <w:rFonts w:ascii="Times New Roman" w:hAnsi="Times New Roman" w:cs="Times New Roman"/>
                <w:sz w:val="20"/>
                <w:szCs w:val="20"/>
              </w:rPr>
            </w:pPr>
            <w:r w:rsidRPr="009E0336">
              <w:rPr>
                <w:rFonts w:ascii="Times New Roman" w:eastAsia="Times New Roman" w:hAnsi="Times New Roman" w:cs="Times New Roman"/>
                <w:b/>
                <w:sz w:val="20"/>
                <w:szCs w:val="20"/>
                <w:lang w:eastAsia="hr-HR"/>
              </w:rPr>
              <w:t>Izvor podataka</w:t>
            </w:r>
          </w:p>
        </w:tc>
        <w:tc>
          <w:tcPr>
            <w:tcW w:w="1230"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32D05FD5" w14:textId="17053786" w:rsidR="00FA6BF1" w:rsidRPr="009E0336" w:rsidRDefault="00091387">
            <w:pPr>
              <w:widowControl/>
              <w:spacing w:after="0" w:line="240" w:lineRule="auto"/>
              <w:jc w:val="center"/>
              <w:textAlignment w:val="baseline"/>
              <w:rPr>
                <w:rFonts w:ascii="Times New Roman" w:hAnsi="Times New Roman" w:cs="Times New Roman"/>
                <w:sz w:val="20"/>
                <w:szCs w:val="20"/>
              </w:rPr>
            </w:pPr>
            <w:r w:rsidRPr="009E0336">
              <w:rPr>
                <w:rFonts w:ascii="Times New Roman" w:eastAsia="Times New Roman" w:hAnsi="Times New Roman" w:cs="Times New Roman"/>
                <w:b/>
                <w:sz w:val="20"/>
                <w:szCs w:val="20"/>
                <w:lang w:eastAsia="hr-HR"/>
              </w:rPr>
              <w:t>Ciljana vrijednost 202</w:t>
            </w:r>
            <w:r w:rsidR="007077C9" w:rsidRPr="009E0336">
              <w:rPr>
                <w:rFonts w:ascii="Times New Roman" w:eastAsia="Times New Roman" w:hAnsi="Times New Roman" w:cs="Times New Roman"/>
                <w:b/>
                <w:sz w:val="20"/>
                <w:szCs w:val="20"/>
                <w:lang w:eastAsia="hr-HR"/>
              </w:rPr>
              <w:t>5</w:t>
            </w:r>
            <w:r w:rsidRPr="009E0336">
              <w:rPr>
                <w:rFonts w:ascii="Times New Roman" w:eastAsia="Times New Roman" w:hAnsi="Times New Roman" w:cs="Times New Roman"/>
                <w:b/>
                <w:sz w:val="20"/>
                <w:szCs w:val="20"/>
                <w:lang w:eastAsia="hr-HR"/>
              </w:rPr>
              <w:t>.</w:t>
            </w:r>
          </w:p>
        </w:tc>
        <w:tc>
          <w:tcPr>
            <w:tcW w:w="1269"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7EF92B11" w14:textId="48B22EF6" w:rsidR="00FA6BF1" w:rsidRPr="009E0336" w:rsidRDefault="00091387">
            <w:pPr>
              <w:widowControl/>
              <w:spacing w:after="0" w:line="240" w:lineRule="auto"/>
              <w:jc w:val="center"/>
              <w:textAlignment w:val="baseline"/>
              <w:rPr>
                <w:rFonts w:ascii="Times New Roman" w:hAnsi="Times New Roman" w:cs="Times New Roman"/>
                <w:sz w:val="20"/>
                <w:szCs w:val="20"/>
              </w:rPr>
            </w:pPr>
            <w:r w:rsidRPr="009E0336">
              <w:rPr>
                <w:rFonts w:ascii="Times New Roman" w:eastAsia="Times New Roman" w:hAnsi="Times New Roman" w:cs="Times New Roman"/>
                <w:b/>
                <w:sz w:val="20"/>
                <w:szCs w:val="20"/>
                <w:lang w:eastAsia="hr-HR"/>
              </w:rPr>
              <w:t>Ciljana vrijednost 202</w:t>
            </w:r>
            <w:r w:rsidR="007077C9" w:rsidRPr="009E0336">
              <w:rPr>
                <w:rFonts w:ascii="Times New Roman" w:eastAsia="Times New Roman" w:hAnsi="Times New Roman" w:cs="Times New Roman"/>
                <w:b/>
                <w:sz w:val="20"/>
                <w:szCs w:val="20"/>
                <w:lang w:eastAsia="hr-HR"/>
              </w:rPr>
              <w:t>6</w:t>
            </w:r>
            <w:r w:rsidRPr="009E0336">
              <w:rPr>
                <w:rFonts w:ascii="Times New Roman" w:eastAsia="Times New Roman" w:hAnsi="Times New Roman" w:cs="Times New Roman"/>
                <w:b/>
                <w:sz w:val="20"/>
                <w:szCs w:val="20"/>
                <w:lang w:eastAsia="hr-HR"/>
              </w:rPr>
              <w:t>.</w:t>
            </w:r>
          </w:p>
        </w:tc>
        <w:tc>
          <w:tcPr>
            <w:tcW w:w="1270"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37F63053" w14:textId="51A87F37" w:rsidR="00FA6BF1" w:rsidRPr="009E0336" w:rsidRDefault="00091387">
            <w:pPr>
              <w:widowControl/>
              <w:spacing w:after="0" w:line="240" w:lineRule="auto"/>
              <w:jc w:val="center"/>
              <w:textAlignment w:val="baseline"/>
              <w:rPr>
                <w:rFonts w:ascii="Times New Roman" w:hAnsi="Times New Roman" w:cs="Times New Roman"/>
                <w:sz w:val="20"/>
                <w:szCs w:val="20"/>
              </w:rPr>
            </w:pPr>
            <w:r w:rsidRPr="009E0336">
              <w:rPr>
                <w:rFonts w:ascii="Times New Roman" w:eastAsia="Times New Roman" w:hAnsi="Times New Roman" w:cs="Times New Roman"/>
                <w:b/>
                <w:sz w:val="20"/>
                <w:szCs w:val="20"/>
                <w:lang w:eastAsia="hr-HR"/>
              </w:rPr>
              <w:t>Ciljana vrijednost 202</w:t>
            </w:r>
            <w:r w:rsidR="007077C9" w:rsidRPr="009E0336">
              <w:rPr>
                <w:rFonts w:ascii="Times New Roman" w:eastAsia="Times New Roman" w:hAnsi="Times New Roman" w:cs="Times New Roman"/>
                <w:b/>
                <w:sz w:val="20"/>
                <w:szCs w:val="20"/>
                <w:lang w:eastAsia="hr-HR"/>
              </w:rPr>
              <w:t>7</w:t>
            </w:r>
            <w:r w:rsidRPr="009E0336">
              <w:rPr>
                <w:rFonts w:ascii="Times New Roman" w:eastAsia="Times New Roman" w:hAnsi="Times New Roman" w:cs="Times New Roman"/>
                <w:b/>
                <w:sz w:val="20"/>
                <w:szCs w:val="20"/>
                <w:lang w:eastAsia="hr-HR"/>
              </w:rPr>
              <w:t>.</w:t>
            </w:r>
          </w:p>
        </w:tc>
      </w:tr>
      <w:tr w:rsidR="00FA6BF1" w:rsidRPr="009E0336" w14:paraId="41C23144" w14:textId="77777777" w:rsidTr="007371FF">
        <w:trPr>
          <w:trHeight w:val="219"/>
        </w:trPr>
        <w:tc>
          <w:tcPr>
            <w:tcW w:w="12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4AC65B0" w14:textId="77777777" w:rsidR="00FA6BF1" w:rsidRPr="009E0336" w:rsidRDefault="00091387">
            <w:pPr>
              <w:widowControl/>
              <w:spacing w:after="0" w:line="240" w:lineRule="auto"/>
              <w:textAlignment w:val="baseline"/>
              <w:rPr>
                <w:rFonts w:ascii="Times New Roman" w:eastAsia="Times New Roman" w:hAnsi="Times New Roman" w:cs="Times New Roman"/>
                <w:sz w:val="20"/>
                <w:szCs w:val="20"/>
                <w:lang w:eastAsia="hr-HR"/>
              </w:rPr>
            </w:pPr>
            <w:r w:rsidRPr="009E0336">
              <w:rPr>
                <w:rFonts w:ascii="Times New Roman" w:eastAsia="Times New Roman" w:hAnsi="Times New Roman" w:cs="Times New Roman"/>
                <w:sz w:val="20"/>
                <w:szCs w:val="20"/>
                <w:lang w:eastAsia="hr-HR"/>
              </w:rPr>
              <w:t xml:space="preserve">Pokrivenost požarišta dodatnim timovima hitne medicine na zahtjev zapovjednika požarišta </w:t>
            </w:r>
          </w:p>
        </w:tc>
        <w:tc>
          <w:tcPr>
            <w:tcW w:w="10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C5F3C4" w14:textId="7E180337" w:rsidR="00FA6BF1" w:rsidRPr="009E0336" w:rsidRDefault="00091387">
            <w:pPr>
              <w:widowControl/>
              <w:spacing w:after="0" w:line="240" w:lineRule="auto"/>
              <w:textAlignment w:val="baseline"/>
              <w:rPr>
                <w:rFonts w:ascii="Times New Roman" w:eastAsia="Times New Roman" w:hAnsi="Times New Roman" w:cs="Times New Roman"/>
                <w:sz w:val="20"/>
                <w:szCs w:val="20"/>
                <w:lang w:eastAsia="hr-HR"/>
              </w:rPr>
            </w:pPr>
            <w:r w:rsidRPr="009E0336">
              <w:rPr>
                <w:rFonts w:ascii="Times New Roman" w:eastAsia="Times New Roman" w:hAnsi="Times New Roman" w:cs="Times New Roman"/>
                <w:sz w:val="20"/>
                <w:szCs w:val="20"/>
                <w:lang w:eastAsia="hr-HR"/>
              </w:rPr>
              <w:t xml:space="preserve">Prisustvom  timova </w:t>
            </w:r>
            <w:r w:rsidR="0074131A" w:rsidRPr="009E0336">
              <w:rPr>
                <w:rFonts w:ascii="Times New Roman" w:eastAsia="Times New Roman" w:hAnsi="Times New Roman" w:cs="Times New Roman"/>
                <w:sz w:val="20"/>
                <w:szCs w:val="20"/>
                <w:lang w:eastAsia="hr-HR"/>
              </w:rPr>
              <w:t>hitne medicine</w:t>
            </w:r>
            <w:r w:rsidRPr="009E0336">
              <w:rPr>
                <w:rFonts w:ascii="Times New Roman" w:eastAsia="Times New Roman" w:hAnsi="Times New Roman" w:cs="Times New Roman"/>
                <w:sz w:val="20"/>
                <w:szCs w:val="20"/>
                <w:lang w:eastAsia="hr-HR"/>
              </w:rPr>
              <w:t xml:space="preserve"> za vrijeme požara omogućava se brže pružanje hitne medicine pomoći i zbrinjavanje ugroženih osoba</w:t>
            </w:r>
          </w:p>
        </w:tc>
        <w:tc>
          <w:tcPr>
            <w:tcW w:w="9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259672" w14:textId="77777777" w:rsidR="00FA6BF1" w:rsidRPr="009E0336" w:rsidRDefault="00091387">
            <w:pPr>
              <w:widowControl/>
              <w:spacing w:after="0" w:line="240" w:lineRule="auto"/>
              <w:textAlignment w:val="baseline"/>
              <w:rPr>
                <w:rFonts w:ascii="Times New Roman" w:eastAsia="Times New Roman" w:hAnsi="Times New Roman" w:cs="Times New Roman"/>
                <w:sz w:val="20"/>
                <w:szCs w:val="20"/>
                <w:lang w:eastAsia="hr-HR"/>
              </w:rPr>
            </w:pPr>
            <w:r w:rsidRPr="009E0336">
              <w:rPr>
                <w:rFonts w:ascii="Times New Roman" w:eastAsia="Times New Roman" w:hAnsi="Times New Roman" w:cs="Times New Roman"/>
                <w:sz w:val="20"/>
                <w:szCs w:val="20"/>
                <w:lang w:eastAsia="hr-HR"/>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097100" w14:textId="77777777" w:rsidR="00FA6BF1" w:rsidRPr="009E0336" w:rsidRDefault="00091387">
            <w:pPr>
              <w:widowControl/>
              <w:spacing w:after="0" w:line="240" w:lineRule="auto"/>
              <w:textAlignment w:val="baseline"/>
              <w:rPr>
                <w:rFonts w:ascii="Times New Roman" w:eastAsia="Times New Roman" w:hAnsi="Times New Roman" w:cs="Times New Roman"/>
                <w:sz w:val="20"/>
                <w:szCs w:val="20"/>
                <w:lang w:eastAsia="hr-HR"/>
              </w:rPr>
            </w:pPr>
            <w:r w:rsidRPr="009E0336">
              <w:rPr>
                <w:rFonts w:ascii="Times New Roman" w:eastAsia="Times New Roman" w:hAnsi="Times New Roman" w:cs="Times New Roman"/>
                <w:sz w:val="20"/>
                <w:szCs w:val="20"/>
                <w:lang w:eastAsia="hr-HR"/>
              </w:rPr>
              <w:t>0</w:t>
            </w:r>
          </w:p>
        </w:tc>
        <w:tc>
          <w:tcPr>
            <w:tcW w:w="11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40E1D1" w14:textId="57813CEC" w:rsidR="00FA6BF1" w:rsidRPr="009E0336" w:rsidRDefault="00091387">
            <w:pPr>
              <w:widowControl/>
              <w:spacing w:after="0" w:line="240" w:lineRule="auto"/>
              <w:textAlignment w:val="baseline"/>
              <w:rPr>
                <w:rFonts w:ascii="Times New Roman" w:eastAsia="Times New Roman" w:hAnsi="Times New Roman" w:cs="Times New Roman"/>
                <w:sz w:val="20"/>
                <w:szCs w:val="20"/>
                <w:lang w:eastAsia="hr-HR"/>
              </w:rPr>
            </w:pPr>
            <w:r w:rsidRPr="009E0336">
              <w:rPr>
                <w:rFonts w:ascii="Times New Roman" w:eastAsia="Times New Roman" w:hAnsi="Times New Roman" w:cs="Times New Roman"/>
                <w:sz w:val="20"/>
                <w:szCs w:val="20"/>
                <w:lang w:eastAsia="hr-HR"/>
              </w:rPr>
              <w:t>Z</w:t>
            </w:r>
            <w:r w:rsidR="00A43490" w:rsidRPr="009E0336">
              <w:rPr>
                <w:rFonts w:ascii="Times New Roman" w:eastAsia="Times New Roman" w:hAnsi="Times New Roman" w:cs="Times New Roman"/>
                <w:sz w:val="20"/>
                <w:szCs w:val="20"/>
                <w:lang w:eastAsia="hr-HR"/>
              </w:rPr>
              <w:t>avod</w:t>
            </w:r>
          </w:p>
        </w:tc>
        <w:tc>
          <w:tcPr>
            <w:tcW w:w="12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7240070" w14:textId="77777777" w:rsidR="00FA6BF1" w:rsidRPr="009E0336" w:rsidRDefault="00091387">
            <w:pPr>
              <w:widowControl/>
              <w:spacing w:after="0" w:line="240" w:lineRule="auto"/>
              <w:textAlignment w:val="baseline"/>
              <w:rPr>
                <w:rFonts w:ascii="Times New Roman" w:eastAsia="Times New Roman" w:hAnsi="Times New Roman" w:cs="Times New Roman"/>
                <w:sz w:val="20"/>
                <w:szCs w:val="20"/>
                <w:lang w:eastAsia="hr-HR"/>
              </w:rPr>
            </w:pPr>
            <w:r w:rsidRPr="009E0336">
              <w:rPr>
                <w:rFonts w:ascii="Times New Roman" w:eastAsia="Times New Roman" w:hAnsi="Times New Roman" w:cs="Times New Roman"/>
                <w:sz w:val="20"/>
                <w:szCs w:val="20"/>
                <w:lang w:eastAsia="hr-HR"/>
              </w:rPr>
              <w:t>100</w:t>
            </w:r>
          </w:p>
        </w:tc>
        <w:tc>
          <w:tcPr>
            <w:tcW w:w="12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31D015" w14:textId="77777777" w:rsidR="00FA6BF1" w:rsidRPr="009E0336" w:rsidRDefault="00091387">
            <w:pPr>
              <w:widowControl/>
              <w:spacing w:after="0" w:line="240" w:lineRule="auto"/>
              <w:textAlignment w:val="baseline"/>
              <w:rPr>
                <w:rFonts w:ascii="Times New Roman" w:eastAsia="Times New Roman" w:hAnsi="Times New Roman" w:cs="Times New Roman"/>
                <w:sz w:val="20"/>
                <w:szCs w:val="20"/>
                <w:lang w:eastAsia="hr-HR"/>
              </w:rPr>
            </w:pPr>
            <w:r w:rsidRPr="009E0336">
              <w:rPr>
                <w:rFonts w:ascii="Times New Roman" w:eastAsia="Times New Roman" w:hAnsi="Times New Roman" w:cs="Times New Roman"/>
                <w:sz w:val="20"/>
                <w:szCs w:val="20"/>
                <w:lang w:eastAsia="hr-HR"/>
              </w:rPr>
              <w:t>100</w:t>
            </w:r>
          </w:p>
        </w:tc>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108982A" w14:textId="77777777" w:rsidR="00FA6BF1" w:rsidRPr="009E0336" w:rsidRDefault="00091387">
            <w:pPr>
              <w:widowControl/>
              <w:spacing w:after="0" w:line="240" w:lineRule="auto"/>
              <w:textAlignment w:val="baseline"/>
              <w:rPr>
                <w:rFonts w:ascii="Times New Roman" w:eastAsia="Times New Roman" w:hAnsi="Times New Roman" w:cs="Times New Roman"/>
                <w:sz w:val="20"/>
                <w:szCs w:val="20"/>
                <w:lang w:eastAsia="hr-HR"/>
              </w:rPr>
            </w:pPr>
            <w:r w:rsidRPr="009E0336">
              <w:rPr>
                <w:rFonts w:ascii="Times New Roman" w:eastAsia="Times New Roman" w:hAnsi="Times New Roman" w:cs="Times New Roman"/>
                <w:sz w:val="20"/>
                <w:szCs w:val="20"/>
                <w:lang w:eastAsia="hr-HR"/>
              </w:rPr>
              <w:t>100</w:t>
            </w:r>
          </w:p>
        </w:tc>
      </w:tr>
    </w:tbl>
    <w:p w14:paraId="69EA2BED" w14:textId="77777777" w:rsidR="00FA6BF1" w:rsidRPr="009E0336" w:rsidRDefault="00FA6BF1">
      <w:pPr>
        <w:pStyle w:val="Standard"/>
        <w:rPr>
          <w:sz w:val="20"/>
          <w:szCs w:val="20"/>
        </w:rPr>
      </w:pPr>
    </w:p>
    <w:tbl>
      <w:tblPr>
        <w:tblW w:w="9402" w:type="dxa"/>
        <w:tblInd w:w="-108" w:type="dxa"/>
        <w:tblLayout w:type="fixed"/>
        <w:tblCellMar>
          <w:left w:w="10" w:type="dxa"/>
          <w:right w:w="10" w:type="dxa"/>
        </w:tblCellMar>
        <w:tblLook w:val="04A0" w:firstRow="1" w:lastRow="0" w:firstColumn="1" w:lastColumn="0" w:noHBand="0" w:noVBand="1"/>
      </w:tblPr>
      <w:tblGrid>
        <w:gridCol w:w="1176"/>
        <w:gridCol w:w="1904"/>
        <w:gridCol w:w="6322"/>
      </w:tblGrid>
      <w:tr w:rsidR="00FA6BF1" w:rsidRPr="009E0336" w14:paraId="05685C21" w14:textId="77777777" w:rsidTr="00FB1800">
        <w:trPr>
          <w:trHeight w:val="517"/>
        </w:trPr>
        <w:tc>
          <w:tcPr>
            <w:tcW w:w="11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A41AAF" w14:textId="77777777" w:rsidR="00FA6BF1" w:rsidRPr="009E0336" w:rsidRDefault="00091387">
            <w:pPr>
              <w:widowControl/>
              <w:spacing w:after="0" w:line="240" w:lineRule="auto"/>
              <w:textAlignment w:val="baseline"/>
              <w:rPr>
                <w:rFonts w:ascii="Times New Roman" w:hAnsi="Times New Roman" w:cs="Times New Roman"/>
                <w:sz w:val="20"/>
                <w:szCs w:val="20"/>
              </w:rPr>
            </w:pPr>
            <w:r w:rsidRPr="009E0336">
              <w:rPr>
                <w:rFonts w:ascii="Times New Roman" w:eastAsia="Times New Roman" w:hAnsi="Times New Roman" w:cs="Times New Roman"/>
                <w:b/>
                <w:bCs/>
                <w:color w:val="000000"/>
                <w:sz w:val="20"/>
                <w:szCs w:val="20"/>
                <w:lang w:eastAsia="hr-HR"/>
              </w:rPr>
              <w:t>Aktivnost/ Projekt:</w:t>
            </w:r>
          </w:p>
        </w:tc>
        <w:tc>
          <w:tcPr>
            <w:tcW w:w="19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958BE8" w14:textId="499ABB79" w:rsidR="00FA6BF1" w:rsidRPr="009E0336" w:rsidRDefault="00091387" w:rsidP="00FB1800">
            <w:pPr>
              <w:widowControl/>
              <w:spacing w:after="0" w:line="240" w:lineRule="auto"/>
              <w:textAlignment w:val="baseline"/>
              <w:rPr>
                <w:rFonts w:ascii="Times New Roman" w:eastAsia="Times New Roman" w:hAnsi="Times New Roman" w:cs="Times New Roman"/>
                <w:b/>
                <w:bCs/>
                <w:sz w:val="20"/>
                <w:szCs w:val="20"/>
                <w:lang w:eastAsia="hr-HR"/>
              </w:rPr>
            </w:pPr>
            <w:r w:rsidRPr="009E0336">
              <w:rPr>
                <w:rFonts w:ascii="Times New Roman" w:eastAsia="Times New Roman" w:hAnsi="Times New Roman" w:cs="Times New Roman"/>
                <w:b/>
                <w:bCs/>
                <w:sz w:val="20"/>
                <w:szCs w:val="20"/>
                <w:lang w:eastAsia="hr-HR"/>
              </w:rPr>
              <w:t>A003020K302001</w:t>
            </w:r>
          </w:p>
        </w:tc>
        <w:tc>
          <w:tcPr>
            <w:tcW w:w="63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250CCA" w14:textId="77777777" w:rsidR="00FA6BF1" w:rsidRPr="009E0336" w:rsidRDefault="00091387">
            <w:pPr>
              <w:widowControl/>
              <w:spacing w:after="0" w:line="240" w:lineRule="auto"/>
              <w:textAlignment w:val="baseline"/>
              <w:rPr>
                <w:rFonts w:ascii="Times New Roman" w:eastAsia="Times New Roman" w:hAnsi="Times New Roman" w:cs="Times New Roman"/>
                <w:b/>
                <w:bCs/>
                <w:sz w:val="20"/>
                <w:szCs w:val="20"/>
                <w:lang w:eastAsia="hr-HR"/>
              </w:rPr>
            </w:pPr>
            <w:r w:rsidRPr="009E0336">
              <w:rPr>
                <w:rFonts w:ascii="Times New Roman" w:eastAsia="Times New Roman" w:hAnsi="Times New Roman" w:cs="Times New Roman"/>
                <w:b/>
                <w:bCs/>
                <w:sz w:val="20"/>
                <w:szCs w:val="20"/>
                <w:lang w:eastAsia="hr-HR"/>
              </w:rPr>
              <w:t>Defibrilatori na javnim mjestima</w:t>
            </w:r>
          </w:p>
        </w:tc>
      </w:tr>
      <w:tr w:rsidR="00FA6BF1" w:rsidRPr="009E0336" w14:paraId="767A35B9" w14:textId="77777777">
        <w:trPr>
          <w:trHeight w:val="517"/>
        </w:trPr>
        <w:tc>
          <w:tcPr>
            <w:tcW w:w="11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FA3210E" w14:textId="77777777" w:rsidR="00FA6BF1" w:rsidRPr="009E0336" w:rsidRDefault="00091387" w:rsidP="00C97AA2">
            <w:pPr>
              <w:widowControl/>
              <w:spacing w:after="0" w:line="240" w:lineRule="auto"/>
              <w:textAlignment w:val="baseline"/>
              <w:rPr>
                <w:rFonts w:ascii="Times New Roman" w:hAnsi="Times New Roman" w:cs="Times New Roman"/>
                <w:sz w:val="20"/>
                <w:szCs w:val="20"/>
              </w:rPr>
            </w:pPr>
            <w:r w:rsidRPr="009E0336">
              <w:rPr>
                <w:rFonts w:ascii="Times New Roman" w:eastAsia="Times New Roman" w:hAnsi="Times New Roman" w:cs="Times New Roman"/>
                <w:b/>
                <w:bCs/>
                <w:color w:val="000000"/>
                <w:sz w:val="20"/>
                <w:szCs w:val="20"/>
                <w:lang w:eastAsia="hr-HR"/>
              </w:rPr>
              <w:t>Zakonska i druga pravna osnova:</w:t>
            </w:r>
          </w:p>
        </w:tc>
        <w:tc>
          <w:tcPr>
            <w:tcW w:w="822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60E4E6" w14:textId="08C60FAE" w:rsidR="005B2C7E" w:rsidRPr="009E0336" w:rsidRDefault="005B2C7E" w:rsidP="00C97AA2">
            <w:pPr>
              <w:pStyle w:val="Standard"/>
              <w:jc w:val="both"/>
              <w:rPr>
                <w:sz w:val="20"/>
                <w:szCs w:val="20"/>
              </w:rPr>
            </w:pPr>
            <w:r w:rsidRPr="009E0336">
              <w:rPr>
                <w:rFonts w:eastAsia="Symbol"/>
                <w:sz w:val="20"/>
                <w:szCs w:val="20"/>
                <w:lang w:val="pl-PL"/>
              </w:rPr>
              <w:t xml:space="preserve">Zakon o zdravstvenoj zaštiti, Zakon o obveznom zdravstvenom osiguranju, </w:t>
            </w:r>
            <w:r w:rsidRPr="009E0336">
              <w:rPr>
                <w:sz w:val="20"/>
                <w:szCs w:val="20"/>
              </w:rPr>
              <w:t>Upute za izradu Proračuna Splitsko-dalmatinske županije za razdoblje 202</w:t>
            </w:r>
            <w:r w:rsidR="009F4167" w:rsidRPr="009E0336">
              <w:rPr>
                <w:sz w:val="20"/>
                <w:szCs w:val="20"/>
              </w:rPr>
              <w:t>5</w:t>
            </w:r>
            <w:r w:rsidRPr="009E0336">
              <w:rPr>
                <w:sz w:val="20"/>
                <w:szCs w:val="20"/>
              </w:rPr>
              <w:t>.g.-202</w:t>
            </w:r>
            <w:r w:rsidR="009F4167" w:rsidRPr="009E0336">
              <w:rPr>
                <w:sz w:val="20"/>
                <w:szCs w:val="20"/>
              </w:rPr>
              <w:t>7</w:t>
            </w:r>
            <w:r w:rsidRPr="009E0336">
              <w:rPr>
                <w:sz w:val="20"/>
                <w:szCs w:val="20"/>
              </w:rPr>
              <w:t>.g.</w:t>
            </w:r>
          </w:p>
          <w:p w14:paraId="0037C481" w14:textId="4B3A1476" w:rsidR="00FA6BF1" w:rsidRPr="009E0336" w:rsidRDefault="00FA6BF1" w:rsidP="00C97AA2">
            <w:pPr>
              <w:widowControl/>
              <w:spacing w:after="0" w:line="240" w:lineRule="auto"/>
              <w:jc w:val="both"/>
              <w:rPr>
                <w:rFonts w:ascii="Times New Roman" w:hAnsi="Times New Roman" w:cs="Times New Roman"/>
                <w:sz w:val="20"/>
                <w:szCs w:val="20"/>
              </w:rPr>
            </w:pPr>
          </w:p>
        </w:tc>
      </w:tr>
      <w:tr w:rsidR="00FA6BF1" w:rsidRPr="009E0336" w14:paraId="43BA5BD8" w14:textId="77777777">
        <w:trPr>
          <w:trHeight w:val="257"/>
        </w:trPr>
        <w:tc>
          <w:tcPr>
            <w:tcW w:w="11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96BFAB1" w14:textId="77777777" w:rsidR="00FA6BF1" w:rsidRPr="009E0336" w:rsidRDefault="00091387" w:rsidP="00C97AA2">
            <w:pPr>
              <w:widowControl/>
              <w:spacing w:after="0" w:line="240" w:lineRule="auto"/>
              <w:textAlignment w:val="baseline"/>
              <w:rPr>
                <w:rFonts w:ascii="Times New Roman" w:hAnsi="Times New Roman" w:cs="Times New Roman"/>
                <w:sz w:val="20"/>
                <w:szCs w:val="20"/>
              </w:rPr>
            </w:pPr>
            <w:r w:rsidRPr="009E0336">
              <w:rPr>
                <w:rFonts w:ascii="Times New Roman" w:eastAsia="Times New Roman" w:hAnsi="Times New Roman" w:cs="Times New Roman"/>
                <w:b/>
                <w:bCs/>
                <w:color w:val="000000"/>
                <w:sz w:val="20"/>
                <w:szCs w:val="20"/>
                <w:lang w:eastAsia="hr-HR"/>
              </w:rPr>
              <w:t>Opis aktivnosti / projekta</w:t>
            </w:r>
          </w:p>
        </w:tc>
        <w:tc>
          <w:tcPr>
            <w:tcW w:w="822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E7D35BC" w14:textId="0B443594" w:rsidR="00FA6BF1" w:rsidRPr="009E0336" w:rsidRDefault="00091387" w:rsidP="00C97AA2">
            <w:pPr>
              <w:widowControl/>
              <w:snapToGrid w:val="0"/>
              <w:spacing w:after="0" w:line="240" w:lineRule="auto"/>
              <w:jc w:val="both"/>
              <w:rPr>
                <w:rFonts w:ascii="Times New Roman" w:eastAsia="Times New Roman" w:hAnsi="Times New Roman" w:cs="Times New Roman"/>
                <w:kern w:val="0"/>
                <w:sz w:val="20"/>
                <w:szCs w:val="20"/>
                <w:lang w:eastAsia="ar-SA"/>
              </w:rPr>
            </w:pPr>
            <w:r w:rsidRPr="009E0336">
              <w:rPr>
                <w:rFonts w:ascii="Times New Roman" w:eastAsia="Times New Roman" w:hAnsi="Times New Roman" w:cs="Times New Roman"/>
                <w:kern w:val="0"/>
                <w:sz w:val="20"/>
                <w:szCs w:val="20"/>
                <w:lang w:eastAsia="ar-SA"/>
              </w:rPr>
              <w:t>U prethodnim godinama su nabavljeni i postavljeni defibrilatori na javnim mjestima kojima se omoguć</w:t>
            </w:r>
            <w:r w:rsidR="008E7AB2" w:rsidRPr="009E0336">
              <w:rPr>
                <w:rFonts w:ascii="Times New Roman" w:eastAsia="Times New Roman" w:hAnsi="Times New Roman" w:cs="Times New Roman"/>
                <w:kern w:val="0"/>
                <w:sz w:val="20"/>
                <w:szCs w:val="20"/>
                <w:lang w:eastAsia="ar-SA"/>
              </w:rPr>
              <w:t xml:space="preserve">ava spašavanje životno ugroženih osoba </w:t>
            </w:r>
            <w:r w:rsidRPr="009E0336">
              <w:rPr>
                <w:rFonts w:ascii="Times New Roman" w:eastAsia="Times New Roman" w:hAnsi="Times New Roman" w:cs="Times New Roman"/>
                <w:kern w:val="0"/>
                <w:sz w:val="20"/>
                <w:szCs w:val="20"/>
                <w:lang w:eastAsia="ar-SA"/>
              </w:rPr>
              <w:t>već na javnom mjestu</w:t>
            </w:r>
            <w:r w:rsidR="008E7AB2" w:rsidRPr="009E0336">
              <w:rPr>
                <w:rFonts w:ascii="Times New Roman" w:eastAsia="Times New Roman" w:hAnsi="Times New Roman" w:cs="Times New Roman"/>
                <w:kern w:val="0"/>
                <w:sz w:val="20"/>
                <w:szCs w:val="20"/>
                <w:lang w:eastAsia="ar-SA"/>
              </w:rPr>
              <w:t>.</w:t>
            </w:r>
          </w:p>
          <w:p w14:paraId="34835A8B" w14:textId="75C8A3DA" w:rsidR="00FA6BF1" w:rsidRPr="009E0336" w:rsidRDefault="001B65FA" w:rsidP="00C97AA2">
            <w:pPr>
              <w:widowControl/>
              <w:snapToGrid w:val="0"/>
              <w:spacing w:after="0" w:line="240" w:lineRule="auto"/>
              <w:jc w:val="both"/>
              <w:rPr>
                <w:rFonts w:ascii="Times New Roman" w:eastAsia="Times New Roman" w:hAnsi="Times New Roman" w:cs="Times New Roman"/>
                <w:bCs/>
                <w:kern w:val="0"/>
                <w:sz w:val="20"/>
                <w:szCs w:val="20"/>
                <w:lang w:eastAsia="ar-SA"/>
              </w:rPr>
            </w:pPr>
            <w:r w:rsidRPr="009E0336">
              <w:rPr>
                <w:rFonts w:ascii="Times New Roman" w:eastAsia="Times New Roman" w:hAnsi="Times New Roman" w:cs="Times New Roman"/>
                <w:bCs/>
                <w:kern w:val="0"/>
                <w:sz w:val="20"/>
                <w:szCs w:val="20"/>
                <w:lang w:eastAsia="ar-SA"/>
              </w:rPr>
              <w:t xml:space="preserve">Nabavom novih </w:t>
            </w:r>
            <w:r w:rsidR="00E80C32" w:rsidRPr="009E0336">
              <w:rPr>
                <w:rFonts w:ascii="Times New Roman" w:eastAsia="Times New Roman" w:hAnsi="Times New Roman" w:cs="Times New Roman"/>
                <w:bCs/>
                <w:kern w:val="0"/>
                <w:sz w:val="20"/>
                <w:szCs w:val="20"/>
                <w:lang w:eastAsia="ar-SA"/>
              </w:rPr>
              <w:t>automatskih defibrilatora</w:t>
            </w:r>
            <w:r w:rsidRPr="009E0336">
              <w:rPr>
                <w:rFonts w:ascii="Times New Roman" w:eastAsia="Times New Roman" w:hAnsi="Times New Roman" w:cs="Times New Roman"/>
                <w:bCs/>
                <w:kern w:val="0"/>
                <w:sz w:val="20"/>
                <w:szCs w:val="20"/>
                <w:lang w:eastAsia="ar-SA"/>
              </w:rPr>
              <w:t xml:space="preserve"> i r</w:t>
            </w:r>
            <w:r w:rsidR="00091387" w:rsidRPr="009E0336">
              <w:rPr>
                <w:rFonts w:ascii="Times New Roman" w:eastAsia="Times New Roman" w:hAnsi="Times New Roman" w:cs="Times New Roman"/>
                <w:bCs/>
                <w:kern w:val="0"/>
                <w:sz w:val="20"/>
                <w:szCs w:val="20"/>
                <w:lang w:eastAsia="ar-SA"/>
              </w:rPr>
              <w:t xml:space="preserve">edovitim održavanjem </w:t>
            </w:r>
            <w:r w:rsidR="00E80C32" w:rsidRPr="009E0336">
              <w:rPr>
                <w:rFonts w:ascii="Times New Roman" w:eastAsia="Times New Roman" w:hAnsi="Times New Roman" w:cs="Times New Roman"/>
                <w:bCs/>
                <w:kern w:val="0"/>
                <w:sz w:val="20"/>
                <w:szCs w:val="20"/>
                <w:lang w:eastAsia="ar-SA"/>
              </w:rPr>
              <w:t>uređaja</w:t>
            </w:r>
            <w:r w:rsidR="00091387" w:rsidRPr="009E0336">
              <w:rPr>
                <w:rFonts w:ascii="Times New Roman" w:eastAsia="Times New Roman" w:hAnsi="Times New Roman" w:cs="Times New Roman"/>
                <w:bCs/>
                <w:kern w:val="0"/>
                <w:sz w:val="20"/>
                <w:szCs w:val="20"/>
                <w:lang w:eastAsia="ar-SA"/>
              </w:rPr>
              <w:t xml:space="preserve"> postići će se bolja pokrivenosti, a time i mogućnost što bržeg </w:t>
            </w:r>
            <w:proofErr w:type="spellStart"/>
            <w:r w:rsidR="00091387" w:rsidRPr="009E0336">
              <w:rPr>
                <w:rFonts w:ascii="Times New Roman" w:eastAsia="Times New Roman" w:hAnsi="Times New Roman" w:cs="Times New Roman"/>
                <w:bCs/>
                <w:kern w:val="0"/>
                <w:sz w:val="20"/>
                <w:szCs w:val="20"/>
                <w:lang w:eastAsia="ar-SA"/>
              </w:rPr>
              <w:t>defibriliranja</w:t>
            </w:r>
            <w:proofErr w:type="spellEnd"/>
            <w:r w:rsidR="00091387" w:rsidRPr="009E0336">
              <w:rPr>
                <w:rFonts w:ascii="Times New Roman" w:eastAsia="Times New Roman" w:hAnsi="Times New Roman" w:cs="Times New Roman"/>
                <w:bCs/>
                <w:kern w:val="0"/>
                <w:sz w:val="20"/>
                <w:szCs w:val="20"/>
                <w:lang w:eastAsia="ar-SA"/>
              </w:rPr>
              <w:t xml:space="preserve"> </w:t>
            </w:r>
            <w:proofErr w:type="spellStart"/>
            <w:r w:rsidR="00091387" w:rsidRPr="009E0336">
              <w:rPr>
                <w:rFonts w:ascii="Times New Roman" w:eastAsia="Times New Roman" w:hAnsi="Times New Roman" w:cs="Times New Roman"/>
                <w:bCs/>
                <w:kern w:val="0"/>
                <w:sz w:val="20"/>
                <w:szCs w:val="20"/>
                <w:lang w:eastAsia="ar-SA"/>
              </w:rPr>
              <w:t>ventrikulskih</w:t>
            </w:r>
            <w:proofErr w:type="spellEnd"/>
            <w:r w:rsidR="00091387" w:rsidRPr="009E0336">
              <w:rPr>
                <w:rFonts w:ascii="Times New Roman" w:eastAsia="Times New Roman" w:hAnsi="Times New Roman" w:cs="Times New Roman"/>
                <w:bCs/>
                <w:kern w:val="0"/>
                <w:sz w:val="20"/>
                <w:szCs w:val="20"/>
                <w:lang w:eastAsia="ar-SA"/>
              </w:rPr>
              <w:t xml:space="preserve"> fibrilacija u što kraćem vremenskom roku te će se na taj način povećati stopa oživljavanja. </w:t>
            </w:r>
          </w:p>
          <w:p w14:paraId="2E3559E5" w14:textId="77777777" w:rsidR="00FA6BF1" w:rsidRPr="009E0336" w:rsidRDefault="00FA6BF1" w:rsidP="00C97AA2">
            <w:pPr>
              <w:widowControl/>
              <w:snapToGrid w:val="0"/>
              <w:spacing w:after="0" w:line="240" w:lineRule="auto"/>
              <w:jc w:val="both"/>
              <w:rPr>
                <w:rFonts w:ascii="Times New Roman" w:eastAsia="Times New Roman" w:hAnsi="Times New Roman" w:cs="Times New Roman"/>
                <w:kern w:val="0"/>
                <w:sz w:val="20"/>
                <w:szCs w:val="20"/>
                <w:lang w:eastAsia="ar-SA"/>
              </w:rPr>
            </w:pPr>
          </w:p>
          <w:p w14:paraId="4FC66009" w14:textId="09E75E19" w:rsidR="00FA6BF1" w:rsidRPr="009E0336" w:rsidRDefault="00091387" w:rsidP="00C97AA2">
            <w:pPr>
              <w:widowControl/>
              <w:spacing w:after="0" w:line="240" w:lineRule="auto"/>
              <w:jc w:val="both"/>
              <w:rPr>
                <w:rFonts w:ascii="Times New Roman" w:eastAsia="Times New Roman" w:hAnsi="Times New Roman" w:cs="Times New Roman"/>
                <w:bCs/>
                <w:kern w:val="0"/>
                <w:sz w:val="20"/>
                <w:szCs w:val="20"/>
                <w:lang w:eastAsia="ar-SA"/>
              </w:rPr>
            </w:pPr>
            <w:r w:rsidRPr="009E0336">
              <w:rPr>
                <w:rFonts w:ascii="Times New Roman" w:eastAsia="Times New Roman" w:hAnsi="Times New Roman" w:cs="Times New Roman"/>
                <w:bCs/>
                <w:kern w:val="0"/>
                <w:sz w:val="20"/>
                <w:szCs w:val="20"/>
                <w:lang w:eastAsia="ar-SA"/>
              </w:rPr>
              <w:t>Izvor financiranja ove aktivnosti, koja obuhvaća 0,</w:t>
            </w:r>
            <w:r w:rsidR="009F4167" w:rsidRPr="009E0336">
              <w:rPr>
                <w:rFonts w:ascii="Times New Roman" w:eastAsia="Times New Roman" w:hAnsi="Times New Roman" w:cs="Times New Roman"/>
                <w:bCs/>
                <w:kern w:val="0"/>
                <w:sz w:val="20"/>
                <w:szCs w:val="20"/>
                <w:lang w:eastAsia="ar-SA"/>
              </w:rPr>
              <w:t xml:space="preserve">1 </w:t>
            </w:r>
            <w:r w:rsidRPr="009E0336">
              <w:rPr>
                <w:rFonts w:ascii="Times New Roman" w:eastAsia="Times New Roman" w:hAnsi="Times New Roman" w:cs="Times New Roman"/>
                <w:bCs/>
                <w:kern w:val="0"/>
                <w:sz w:val="20"/>
                <w:szCs w:val="20"/>
                <w:lang w:eastAsia="ar-SA"/>
              </w:rPr>
              <w:t>% ukupnog plana za 202</w:t>
            </w:r>
            <w:r w:rsidR="009F4167" w:rsidRPr="009E0336">
              <w:rPr>
                <w:rFonts w:ascii="Times New Roman" w:eastAsia="Times New Roman" w:hAnsi="Times New Roman" w:cs="Times New Roman"/>
                <w:bCs/>
                <w:kern w:val="0"/>
                <w:sz w:val="20"/>
                <w:szCs w:val="20"/>
                <w:lang w:eastAsia="ar-SA"/>
              </w:rPr>
              <w:t>5</w:t>
            </w:r>
            <w:r w:rsidRPr="009E0336">
              <w:rPr>
                <w:rFonts w:ascii="Times New Roman" w:eastAsia="Times New Roman" w:hAnsi="Times New Roman" w:cs="Times New Roman"/>
                <w:bCs/>
                <w:kern w:val="0"/>
                <w:sz w:val="20"/>
                <w:szCs w:val="20"/>
                <w:lang w:eastAsia="ar-SA"/>
              </w:rPr>
              <w:t xml:space="preserve">.god., je prihod za posebne namjene osiguran preko SDŽ u iznosu od </w:t>
            </w:r>
            <w:r w:rsidR="00E80C32" w:rsidRPr="009E0336">
              <w:rPr>
                <w:rFonts w:ascii="Times New Roman" w:eastAsia="Times New Roman" w:hAnsi="Times New Roman" w:cs="Times New Roman"/>
                <w:bCs/>
                <w:kern w:val="0"/>
                <w:sz w:val="20"/>
                <w:szCs w:val="20"/>
                <w:lang w:eastAsia="ar-SA"/>
              </w:rPr>
              <w:t>40.000,00</w:t>
            </w:r>
            <w:r w:rsidRPr="009E0336">
              <w:rPr>
                <w:rFonts w:ascii="Times New Roman" w:eastAsia="Times New Roman" w:hAnsi="Times New Roman" w:cs="Times New Roman"/>
                <w:bCs/>
                <w:kern w:val="0"/>
                <w:sz w:val="20"/>
                <w:szCs w:val="20"/>
                <w:lang w:eastAsia="ar-SA"/>
              </w:rPr>
              <w:t xml:space="preserve"> € u 202</w:t>
            </w:r>
            <w:r w:rsidR="009F4167" w:rsidRPr="009E0336">
              <w:rPr>
                <w:rFonts w:ascii="Times New Roman" w:eastAsia="Times New Roman" w:hAnsi="Times New Roman" w:cs="Times New Roman"/>
                <w:bCs/>
                <w:kern w:val="0"/>
                <w:sz w:val="20"/>
                <w:szCs w:val="20"/>
                <w:lang w:eastAsia="ar-SA"/>
              </w:rPr>
              <w:t>5</w:t>
            </w:r>
            <w:r w:rsidRPr="009E0336">
              <w:rPr>
                <w:rFonts w:ascii="Times New Roman" w:eastAsia="Times New Roman" w:hAnsi="Times New Roman" w:cs="Times New Roman"/>
                <w:bCs/>
                <w:kern w:val="0"/>
                <w:sz w:val="20"/>
                <w:szCs w:val="20"/>
                <w:lang w:eastAsia="ar-SA"/>
              </w:rPr>
              <w:t>.g.</w:t>
            </w:r>
            <w:r w:rsidR="009F4167" w:rsidRPr="009E0336">
              <w:rPr>
                <w:rFonts w:ascii="Times New Roman" w:eastAsia="Times New Roman" w:hAnsi="Times New Roman" w:cs="Times New Roman"/>
                <w:bCs/>
                <w:kern w:val="0"/>
                <w:sz w:val="20"/>
                <w:szCs w:val="20"/>
                <w:lang w:eastAsia="ar-SA"/>
              </w:rPr>
              <w:t>, 2026.g. i 2027.g.</w:t>
            </w:r>
          </w:p>
          <w:p w14:paraId="085F1BCE" w14:textId="77777777" w:rsidR="00FA6BF1" w:rsidRPr="009E0336" w:rsidRDefault="00FA6BF1" w:rsidP="00C97AA2">
            <w:pPr>
              <w:widowControl/>
              <w:spacing w:after="0" w:line="240" w:lineRule="auto"/>
              <w:jc w:val="both"/>
              <w:rPr>
                <w:rFonts w:ascii="Times New Roman" w:hAnsi="Times New Roman" w:cs="Times New Roman"/>
                <w:bCs/>
                <w:color w:val="000000"/>
                <w:sz w:val="20"/>
                <w:szCs w:val="20"/>
              </w:rPr>
            </w:pPr>
          </w:p>
        </w:tc>
      </w:tr>
      <w:tr w:rsidR="00FA6BF1" w:rsidRPr="009E0336" w14:paraId="3F95B7E6" w14:textId="77777777">
        <w:trPr>
          <w:trHeight w:val="257"/>
        </w:trPr>
        <w:tc>
          <w:tcPr>
            <w:tcW w:w="11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F62352C" w14:textId="77777777" w:rsidR="00FA6BF1" w:rsidRPr="009E0336" w:rsidRDefault="00091387" w:rsidP="00C97AA2">
            <w:pPr>
              <w:widowControl/>
              <w:spacing w:after="0" w:line="240" w:lineRule="auto"/>
              <w:textAlignment w:val="baseline"/>
              <w:rPr>
                <w:rFonts w:ascii="Times New Roman" w:hAnsi="Times New Roman" w:cs="Times New Roman"/>
                <w:sz w:val="20"/>
                <w:szCs w:val="20"/>
              </w:rPr>
            </w:pPr>
            <w:r w:rsidRPr="009E0336">
              <w:rPr>
                <w:rFonts w:ascii="Times New Roman" w:eastAsia="Times New Roman" w:hAnsi="Times New Roman" w:cs="Times New Roman"/>
                <w:b/>
                <w:bCs/>
                <w:color w:val="000000"/>
                <w:sz w:val="20"/>
                <w:szCs w:val="20"/>
                <w:lang w:eastAsia="hr-HR"/>
              </w:rPr>
              <w:t>Obrazloženje izračuna financijskih sredstava:</w:t>
            </w:r>
          </w:p>
        </w:tc>
        <w:tc>
          <w:tcPr>
            <w:tcW w:w="822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9ED2AB" w14:textId="2904341C" w:rsidR="00FA6BF1" w:rsidRPr="009E0336" w:rsidRDefault="00E80C32" w:rsidP="00C97AA2">
            <w:pPr>
              <w:spacing w:line="240" w:lineRule="auto"/>
              <w:jc w:val="both"/>
              <w:textAlignment w:val="baseline"/>
              <w:rPr>
                <w:rFonts w:ascii="Times New Roman" w:eastAsia="Times New Roman" w:hAnsi="Times New Roman" w:cs="Times New Roman"/>
                <w:kern w:val="0"/>
                <w:sz w:val="20"/>
                <w:szCs w:val="20"/>
                <w:lang w:eastAsia="ar-SA"/>
              </w:rPr>
            </w:pPr>
            <w:r w:rsidRPr="009E0336">
              <w:rPr>
                <w:rFonts w:ascii="Times New Roman" w:eastAsia="Times New Roman" w:hAnsi="Times New Roman" w:cs="Times New Roman"/>
                <w:kern w:val="0"/>
                <w:sz w:val="20"/>
                <w:szCs w:val="20"/>
                <w:lang w:eastAsia="ar-SA"/>
              </w:rPr>
              <w:t>U 202</w:t>
            </w:r>
            <w:r w:rsidR="009F4167" w:rsidRPr="009E0336">
              <w:rPr>
                <w:rFonts w:ascii="Times New Roman" w:eastAsia="Times New Roman" w:hAnsi="Times New Roman" w:cs="Times New Roman"/>
                <w:kern w:val="0"/>
                <w:sz w:val="20"/>
                <w:szCs w:val="20"/>
                <w:lang w:eastAsia="ar-SA"/>
              </w:rPr>
              <w:t>5</w:t>
            </w:r>
            <w:r w:rsidRPr="009E0336">
              <w:rPr>
                <w:rFonts w:ascii="Times New Roman" w:eastAsia="Times New Roman" w:hAnsi="Times New Roman" w:cs="Times New Roman"/>
                <w:kern w:val="0"/>
                <w:sz w:val="20"/>
                <w:szCs w:val="20"/>
                <w:lang w:eastAsia="ar-SA"/>
              </w:rPr>
              <w:t>.g. u</w:t>
            </w:r>
            <w:r w:rsidR="00091387" w:rsidRPr="009E0336">
              <w:rPr>
                <w:rFonts w:ascii="Times New Roman" w:eastAsia="Times New Roman" w:hAnsi="Times New Roman" w:cs="Times New Roman"/>
                <w:kern w:val="0"/>
                <w:sz w:val="20"/>
                <w:szCs w:val="20"/>
                <w:lang w:eastAsia="ar-SA"/>
              </w:rPr>
              <w:t xml:space="preserve"> sklopu ove Aktivnosti obuhvaćeni su materijalni rashodi (popravak i servis defibrilatora) u iznosu od </w:t>
            </w:r>
            <w:r w:rsidRPr="009E0336">
              <w:rPr>
                <w:rFonts w:ascii="Times New Roman" w:eastAsia="Times New Roman" w:hAnsi="Times New Roman" w:cs="Times New Roman"/>
                <w:kern w:val="0"/>
                <w:sz w:val="20"/>
                <w:szCs w:val="20"/>
                <w:lang w:eastAsia="ar-SA"/>
              </w:rPr>
              <w:t>20.000</w:t>
            </w:r>
            <w:r w:rsidR="00091387" w:rsidRPr="009E0336">
              <w:rPr>
                <w:rFonts w:ascii="Times New Roman" w:eastAsia="Times New Roman" w:hAnsi="Times New Roman" w:cs="Times New Roman"/>
                <w:kern w:val="0"/>
                <w:sz w:val="20"/>
                <w:szCs w:val="20"/>
                <w:lang w:eastAsia="ar-SA"/>
              </w:rPr>
              <w:t xml:space="preserve">,00 € </w:t>
            </w:r>
            <w:r w:rsidRPr="009E0336">
              <w:rPr>
                <w:rFonts w:ascii="Times New Roman" w:eastAsia="Times New Roman" w:hAnsi="Times New Roman" w:cs="Times New Roman"/>
                <w:kern w:val="0"/>
                <w:sz w:val="20"/>
                <w:szCs w:val="20"/>
                <w:lang w:eastAsia="ar-SA"/>
              </w:rPr>
              <w:t xml:space="preserve">te rashodi nabave novih uređaja u iznosu od 20.000,00 € </w:t>
            </w:r>
            <w:r w:rsidR="00091387" w:rsidRPr="009E0336">
              <w:rPr>
                <w:rFonts w:ascii="Times New Roman" w:eastAsia="Times New Roman" w:hAnsi="Times New Roman" w:cs="Times New Roman"/>
                <w:kern w:val="0"/>
                <w:sz w:val="20"/>
                <w:szCs w:val="20"/>
                <w:lang w:eastAsia="ar-SA"/>
              </w:rPr>
              <w:t>što čini 0,1% ukupnih rashoda u 202</w:t>
            </w:r>
            <w:r w:rsidR="009F4167" w:rsidRPr="009E0336">
              <w:rPr>
                <w:rFonts w:ascii="Times New Roman" w:eastAsia="Times New Roman" w:hAnsi="Times New Roman" w:cs="Times New Roman"/>
                <w:kern w:val="0"/>
                <w:sz w:val="20"/>
                <w:szCs w:val="20"/>
                <w:lang w:eastAsia="ar-SA"/>
              </w:rPr>
              <w:t>5</w:t>
            </w:r>
            <w:r w:rsidR="00091387" w:rsidRPr="009E0336">
              <w:rPr>
                <w:rFonts w:ascii="Times New Roman" w:eastAsia="Times New Roman" w:hAnsi="Times New Roman" w:cs="Times New Roman"/>
                <w:kern w:val="0"/>
                <w:sz w:val="20"/>
                <w:szCs w:val="20"/>
                <w:lang w:eastAsia="ar-SA"/>
              </w:rPr>
              <w:t xml:space="preserve">.god. </w:t>
            </w:r>
          </w:p>
          <w:p w14:paraId="56C78713" w14:textId="6150EFCE" w:rsidR="00FA6BF1" w:rsidRPr="009E0336" w:rsidRDefault="00091387" w:rsidP="00C97AA2">
            <w:pPr>
              <w:spacing w:line="240" w:lineRule="auto"/>
              <w:jc w:val="both"/>
              <w:rPr>
                <w:rFonts w:ascii="Times New Roman" w:eastAsia="Times New Roman" w:hAnsi="Times New Roman" w:cs="Times New Roman"/>
                <w:bCs/>
                <w:kern w:val="0"/>
                <w:sz w:val="20"/>
                <w:szCs w:val="20"/>
                <w:lang w:eastAsia="ar-SA"/>
              </w:rPr>
            </w:pPr>
            <w:r w:rsidRPr="009E0336">
              <w:rPr>
                <w:rFonts w:ascii="Times New Roman" w:hAnsi="Times New Roman" w:cs="Times New Roman"/>
                <w:iCs/>
                <w:sz w:val="20"/>
                <w:szCs w:val="20"/>
              </w:rPr>
              <w:t>U 202</w:t>
            </w:r>
            <w:r w:rsidR="009F4167" w:rsidRPr="009E0336">
              <w:rPr>
                <w:rFonts w:ascii="Times New Roman" w:hAnsi="Times New Roman" w:cs="Times New Roman"/>
                <w:iCs/>
                <w:sz w:val="20"/>
                <w:szCs w:val="20"/>
              </w:rPr>
              <w:t>6</w:t>
            </w:r>
            <w:r w:rsidRPr="009E0336">
              <w:rPr>
                <w:rFonts w:ascii="Times New Roman" w:hAnsi="Times New Roman" w:cs="Times New Roman"/>
                <w:iCs/>
                <w:sz w:val="20"/>
                <w:szCs w:val="20"/>
              </w:rPr>
              <w:t xml:space="preserve">. </w:t>
            </w:r>
            <w:r w:rsidR="00E80C32" w:rsidRPr="009E0336">
              <w:rPr>
                <w:rFonts w:ascii="Times New Roman" w:hAnsi="Times New Roman" w:cs="Times New Roman"/>
                <w:iCs/>
                <w:sz w:val="20"/>
                <w:szCs w:val="20"/>
              </w:rPr>
              <w:t>g. i 202</w:t>
            </w:r>
            <w:r w:rsidR="009F4167" w:rsidRPr="009E0336">
              <w:rPr>
                <w:rFonts w:ascii="Times New Roman" w:hAnsi="Times New Roman" w:cs="Times New Roman"/>
                <w:iCs/>
                <w:sz w:val="20"/>
                <w:szCs w:val="20"/>
              </w:rPr>
              <w:t>7</w:t>
            </w:r>
            <w:r w:rsidR="00E80C32" w:rsidRPr="009E0336">
              <w:rPr>
                <w:rFonts w:ascii="Times New Roman" w:hAnsi="Times New Roman" w:cs="Times New Roman"/>
                <w:iCs/>
                <w:sz w:val="20"/>
                <w:szCs w:val="20"/>
              </w:rPr>
              <w:t xml:space="preserve">.g. planira se 20.000,00 </w:t>
            </w:r>
            <w:r w:rsidRPr="009E0336">
              <w:rPr>
                <w:rFonts w:ascii="Times New Roman" w:hAnsi="Times New Roman" w:cs="Times New Roman"/>
                <w:iCs/>
                <w:sz w:val="20"/>
                <w:szCs w:val="20"/>
              </w:rPr>
              <w:t xml:space="preserve">€ </w:t>
            </w:r>
            <w:r w:rsidR="00E80C32" w:rsidRPr="009E0336">
              <w:rPr>
                <w:rFonts w:ascii="Times New Roman" w:hAnsi="Times New Roman" w:cs="Times New Roman"/>
                <w:iCs/>
                <w:sz w:val="20"/>
                <w:szCs w:val="20"/>
              </w:rPr>
              <w:t xml:space="preserve">za </w:t>
            </w:r>
            <w:r w:rsidR="00C10509" w:rsidRPr="009E0336">
              <w:rPr>
                <w:rFonts w:ascii="Times New Roman" w:hAnsi="Times New Roman" w:cs="Times New Roman"/>
                <w:iCs/>
                <w:sz w:val="20"/>
                <w:szCs w:val="20"/>
              </w:rPr>
              <w:t xml:space="preserve">održavanje postojećih </w:t>
            </w:r>
            <w:r w:rsidR="00E80C32" w:rsidRPr="009E0336">
              <w:rPr>
                <w:rFonts w:ascii="Times New Roman" w:eastAsia="Times New Roman" w:hAnsi="Times New Roman" w:cs="Times New Roman"/>
                <w:bCs/>
                <w:kern w:val="0"/>
                <w:sz w:val="20"/>
                <w:szCs w:val="20"/>
                <w:lang w:eastAsia="ar-SA"/>
              </w:rPr>
              <w:t>automatskih defibrilatora</w:t>
            </w:r>
            <w:r w:rsidR="009F4167" w:rsidRPr="009E0336">
              <w:rPr>
                <w:rFonts w:ascii="Times New Roman" w:eastAsia="Times New Roman" w:hAnsi="Times New Roman" w:cs="Times New Roman"/>
                <w:bCs/>
                <w:kern w:val="0"/>
                <w:sz w:val="20"/>
                <w:szCs w:val="20"/>
                <w:lang w:eastAsia="ar-SA"/>
              </w:rPr>
              <w:t xml:space="preserve"> i nabava novih u iznosu od 20.000,00 €.</w:t>
            </w:r>
          </w:p>
        </w:tc>
      </w:tr>
      <w:tr w:rsidR="00FA6BF1" w:rsidRPr="009E0336" w14:paraId="51B1AD61" w14:textId="77777777">
        <w:trPr>
          <w:trHeight w:val="257"/>
        </w:trPr>
        <w:tc>
          <w:tcPr>
            <w:tcW w:w="9402"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tbl>
            <w:tblPr>
              <w:tblW w:w="9209" w:type="dxa"/>
              <w:tblLayout w:type="fixed"/>
              <w:tblCellMar>
                <w:left w:w="10" w:type="dxa"/>
                <w:right w:w="10" w:type="dxa"/>
              </w:tblCellMar>
              <w:tblLook w:val="04A0" w:firstRow="1" w:lastRow="0" w:firstColumn="1" w:lastColumn="0" w:noHBand="0" w:noVBand="1"/>
            </w:tblPr>
            <w:tblGrid>
              <w:gridCol w:w="1580"/>
              <w:gridCol w:w="1378"/>
              <w:gridCol w:w="1492"/>
              <w:gridCol w:w="1492"/>
              <w:gridCol w:w="1566"/>
              <w:gridCol w:w="1701"/>
            </w:tblGrid>
            <w:tr w:rsidR="002113AC" w:rsidRPr="009E0336" w14:paraId="3EECD790" w14:textId="77777777">
              <w:trPr>
                <w:trHeight w:val="219"/>
              </w:trPr>
              <w:tc>
                <w:tcPr>
                  <w:tcW w:w="158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DBCBDC8" w14:textId="1283D75B" w:rsidR="002113AC" w:rsidRPr="009E0336" w:rsidRDefault="002113AC" w:rsidP="002113AC">
                  <w:pPr>
                    <w:widowControl/>
                    <w:spacing w:after="0" w:line="240" w:lineRule="auto"/>
                    <w:jc w:val="center"/>
                    <w:textAlignment w:val="baseline"/>
                    <w:rPr>
                      <w:rFonts w:ascii="Times New Roman" w:hAnsi="Times New Roman" w:cs="Times New Roman"/>
                      <w:b/>
                      <w:bCs/>
                      <w:sz w:val="20"/>
                      <w:szCs w:val="20"/>
                    </w:rPr>
                  </w:pPr>
                  <w:r w:rsidRPr="009E0336">
                    <w:rPr>
                      <w:rFonts w:ascii="Times New Roman" w:hAnsi="Times New Roman" w:cs="Times New Roman"/>
                      <w:b/>
                      <w:bCs/>
                      <w:color w:val="000000"/>
                      <w:sz w:val="20"/>
                      <w:szCs w:val="20"/>
                    </w:rPr>
                    <w:t>Izvršeno 2023.</w:t>
                  </w:r>
                </w:p>
              </w:tc>
              <w:tc>
                <w:tcPr>
                  <w:tcW w:w="1378"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7CC98994" w14:textId="279B0514" w:rsidR="002113AC" w:rsidRPr="009E0336" w:rsidRDefault="002113AC" w:rsidP="002113AC">
                  <w:pPr>
                    <w:widowControl/>
                    <w:spacing w:after="0" w:line="240" w:lineRule="auto"/>
                    <w:jc w:val="center"/>
                    <w:textAlignment w:val="baseline"/>
                    <w:rPr>
                      <w:rFonts w:ascii="Times New Roman" w:hAnsi="Times New Roman" w:cs="Times New Roman"/>
                      <w:b/>
                      <w:bCs/>
                      <w:sz w:val="20"/>
                      <w:szCs w:val="20"/>
                    </w:rPr>
                  </w:pPr>
                  <w:r w:rsidRPr="009E0336">
                    <w:rPr>
                      <w:rFonts w:ascii="Times New Roman" w:hAnsi="Times New Roman" w:cs="Times New Roman"/>
                      <w:b/>
                      <w:bCs/>
                      <w:color w:val="000000"/>
                      <w:sz w:val="20"/>
                      <w:szCs w:val="20"/>
                    </w:rPr>
                    <w:t>Financijski plan 2024.</w:t>
                  </w:r>
                </w:p>
              </w:tc>
              <w:tc>
                <w:tcPr>
                  <w:tcW w:w="149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AAFF092" w14:textId="55AE2CD8" w:rsidR="002113AC" w:rsidRPr="009E0336" w:rsidRDefault="002113AC" w:rsidP="002113AC">
                  <w:pPr>
                    <w:widowControl/>
                    <w:spacing w:after="0" w:line="240" w:lineRule="auto"/>
                    <w:jc w:val="center"/>
                    <w:textAlignment w:val="baseline"/>
                    <w:rPr>
                      <w:rFonts w:ascii="Times New Roman" w:hAnsi="Times New Roman" w:cs="Times New Roman"/>
                      <w:b/>
                      <w:bCs/>
                      <w:sz w:val="20"/>
                      <w:szCs w:val="20"/>
                    </w:rPr>
                  </w:pPr>
                  <w:r w:rsidRPr="009E0336">
                    <w:rPr>
                      <w:rFonts w:ascii="Times New Roman" w:hAnsi="Times New Roman" w:cs="Times New Roman"/>
                      <w:b/>
                      <w:bCs/>
                      <w:color w:val="000000"/>
                      <w:sz w:val="20"/>
                      <w:szCs w:val="20"/>
                    </w:rPr>
                    <w:t>I. Rebalans 2024.</w:t>
                  </w:r>
                </w:p>
              </w:tc>
              <w:tc>
                <w:tcPr>
                  <w:tcW w:w="149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2AACE9FB" w14:textId="7E082632" w:rsidR="002113AC" w:rsidRPr="009E0336" w:rsidRDefault="002113AC" w:rsidP="002113AC">
                  <w:pPr>
                    <w:widowControl/>
                    <w:spacing w:after="0" w:line="240" w:lineRule="auto"/>
                    <w:jc w:val="center"/>
                    <w:textAlignment w:val="baseline"/>
                    <w:rPr>
                      <w:rFonts w:ascii="Times New Roman" w:hAnsi="Times New Roman" w:cs="Times New Roman"/>
                      <w:b/>
                      <w:bCs/>
                      <w:sz w:val="20"/>
                      <w:szCs w:val="20"/>
                    </w:rPr>
                  </w:pPr>
                  <w:r w:rsidRPr="009E0336">
                    <w:rPr>
                      <w:rFonts w:ascii="Times New Roman" w:hAnsi="Times New Roman" w:cs="Times New Roman"/>
                      <w:b/>
                      <w:bCs/>
                      <w:color w:val="000000"/>
                      <w:sz w:val="20"/>
                      <w:szCs w:val="20"/>
                    </w:rPr>
                    <w:t>Plan 2025.</w:t>
                  </w:r>
                </w:p>
              </w:tc>
              <w:tc>
                <w:tcPr>
                  <w:tcW w:w="1566"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46990CF6" w14:textId="4FA48922" w:rsidR="002113AC" w:rsidRPr="009E0336" w:rsidRDefault="002113AC" w:rsidP="002113AC">
                  <w:pPr>
                    <w:widowControl/>
                    <w:spacing w:after="0" w:line="240" w:lineRule="auto"/>
                    <w:jc w:val="center"/>
                    <w:textAlignment w:val="baseline"/>
                    <w:rPr>
                      <w:rFonts w:ascii="Times New Roman" w:hAnsi="Times New Roman" w:cs="Times New Roman"/>
                      <w:b/>
                      <w:bCs/>
                      <w:sz w:val="20"/>
                      <w:szCs w:val="20"/>
                    </w:rPr>
                  </w:pPr>
                  <w:r w:rsidRPr="009E0336">
                    <w:rPr>
                      <w:rFonts w:ascii="Times New Roman" w:hAnsi="Times New Roman" w:cs="Times New Roman"/>
                      <w:b/>
                      <w:bCs/>
                      <w:color w:val="000000"/>
                      <w:sz w:val="20"/>
                      <w:szCs w:val="20"/>
                    </w:rPr>
                    <w:t>Projekcija 2026.</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78931DD8" w14:textId="5485F134" w:rsidR="002113AC" w:rsidRPr="009E0336" w:rsidRDefault="002113AC" w:rsidP="002113AC">
                  <w:pPr>
                    <w:widowControl/>
                    <w:spacing w:after="0" w:line="240" w:lineRule="auto"/>
                    <w:jc w:val="center"/>
                    <w:textAlignment w:val="baseline"/>
                    <w:rPr>
                      <w:rFonts w:ascii="Times New Roman" w:hAnsi="Times New Roman" w:cs="Times New Roman"/>
                      <w:b/>
                      <w:bCs/>
                      <w:sz w:val="20"/>
                      <w:szCs w:val="20"/>
                    </w:rPr>
                  </w:pPr>
                  <w:r w:rsidRPr="009E0336">
                    <w:rPr>
                      <w:rFonts w:ascii="Times New Roman" w:hAnsi="Times New Roman" w:cs="Times New Roman"/>
                      <w:b/>
                      <w:bCs/>
                      <w:color w:val="000000"/>
                      <w:sz w:val="20"/>
                      <w:szCs w:val="20"/>
                    </w:rPr>
                    <w:t>Projekcija 2027.</w:t>
                  </w:r>
                </w:p>
              </w:tc>
            </w:tr>
            <w:tr w:rsidR="002113AC" w:rsidRPr="009E0336" w14:paraId="76B30832" w14:textId="77777777">
              <w:trPr>
                <w:trHeight w:val="219"/>
              </w:trPr>
              <w:tc>
                <w:tcPr>
                  <w:tcW w:w="15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167EF7" w14:textId="474B4D85" w:rsidR="002113AC" w:rsidRPr="009E0336" w:rsidRDefault="00CF143A" w:rsidP="002113AC">
                  <w:pPr>
                    <w:widowControl/>
                    <w:spacing w:after="0" w:line="240" w:lineRule="auto"/>
                    <w:jc w:val="right"/>
                    <w:textAlignment w:val="baseline"/>
                    <w:rPr>
                      <w:rFonts w:ascii="Times New Roman" w:hAnsi="Times New Roman" w:cs="Times New Roman"/>
                      <w:b/>
                      <w:bCs/>
                      <w:sz w:val="20"/>
                      <w:szCs w:val="20"/>
                    </w:rPr>
                  </w:pPr>
                  <w:r w:rsidRPr="009E0336">
                    <w:rPr>
                      <w:rFonts w:ascii="Times New Roman" w:hAnsi="Times New Roman" w:cs="Times New Roman"/>
                      <w:b/>
                      <w:bCs/>
                      <w:sz w:val="20"/>
                      <w:szCs w:val="20"/>
                    </w:rPr>
                    <w:t>39.801,73</w:t>
                  </w:r>
                  <w:r w:rsidR="002113AC" w:rsidRPr="009E0336">
                    <w:rPr>
                      <w:rFonts w:ascii="Times New Roman" w:hAnsi="Times New Roman" w:cs="Times New Roman"/>
                      <w:b/>
                      <w:bCs/>
                      <w:sz w:val="20"/>
                      <w:szCs w:val="20"/>
                    </w:rPr>
                    <w:t xml:space="preserve"> €</w:t>
                  </w:r>
                </w:p>
              </w:tc>
              <w:tc>
                <w:tcPr>
                  <w:tcW w:w="1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11806E" w14:textId="761BFDFE" w:rsidR="002113AC" w:rsidRPr="009E0336" w:rsidRDefault="002113AC" w:rsidP="002113AC">
                  <w:pPr>
                    <w:widowControl/>
                    <w:spacing w:after="0" w:line="240" w:lineRule="auto"/>
                    <w:jc w:val="right"/>
                    <w:textAlignment w:val="baseline"/>
                    <w:rPr>
                      <w:rFonts w:ascii="Times New Roman" w:hAnsi="Times New Roman" w:cs="Times New Roman"/>
                      <w:b/>
                      <w:bCs/>
                      <w:sz w:val="20"/>
                      <w:szCs w:val="20"/>
                    </w:rPr>
                  </w:pPr>
                  <w:r w:rsidRPr="009E0336">
                    <w:rPr>
                      <w:rFonts w:ascii="Times New Roman" w:hAnsi="Times New Roman" w:cs="Times New Roman"/>
                      <w:b/>
                      <w:bCs/>
                      <w:sz w:val="20"/>
                      <w:szCs w:val="20"/>
                    </w:rPr>
                    <w:t>26.530,00 €</w:t>
                  </w:r>
                </w:p>
              </w:tc>
              <w:tc>
                <w:tcPr>
                  <w:tcW w:w="14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78C65D" w14:textId="2455A636" w:rsidR="002113AC" w:rsidRPr="009E0336" w:rsidRDefault="00704F6C" w:rsidP="002113AC">
                  <w:pPr>
                    <w:widowControl/>
                    <w:spacing w:after="0" w:line="240" w:lineRule="auto"/>
                    <w:jc w:val="right"/>
                    <w:textAlignment w:val="baseline"/>
                    <w:rPr>
                      <w:rFonts w:ascii="Times New Roman" w:hAnsi="Times New Roman" w:cs="Times New Roman"/>
                      <w:b/>
                      <w:bCs/>
                      <w:sz w:val="20"/>
                      <w:szCs w:val="20"/>
                    </w:rPr>
                  </w:pPr>
                  <w:r w:rsidRPr="009E0336">
                    <w:rPr>
                      <w:rFonts w:ascii="Times New Roman" w:hAnsi="Times New Roman" w:cs="Times New Roman"/>
                      <w:b/>
                      <w:bCs/>
                      <w:sz w:val="20"/>
                      <w:szCs w:val="20"/>
                    </w:rPr>
                    <w:t>40.000,00</w:t>
                  </w:r>
                  <w:r w:rsidR="002113AC" w:rsidRPr="009E0336">
                    <w:rPr>
                      <w:rFonts w:ascii="Times New Roman" w:hAnsi="Times New Roman" w:cs="Times New Roman"/>
                      <w:b/>
                      <w:bCs/>
                      <w:sz w:val="20"/>
                      <w:szCs w:val="20"/>
                    </w:rPr>
                    <w:t xml:space="preserve"> €</w:t>
                  </w:r>
                </w:p>
              </w:tc>
              <w:tc>
                <w:tcPr>
                  <w:tcW w:w="14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5EC5CA" w14:textId="10713110" w:rsidR="002113AC" w:rsidRPr="009E0336" w:rsidRDefault="002113AC" w:rsidP="002113AC">
                  <w:pPr>
                    <w:widowControl/>
                    <w:spacing w:after="0" w:line="240" w:lineRule="auto"/>
                    <w:jc w:val="right"/>
                    <w:textAlignment w:val="baseline"/>
                    <w:rPr>
                      <w:rFonts w:ascii="Times New Roman" w:hAnsi="Times New Roman" w:cs="Times New Roman"/>
                      <w:b/>
                      <w:bCs/>
                      <w:sz w:val="20"/>
                      <w:szCs w:val="20"/>
                    </w:rPr>
                  </w:pPr>
                  <w:r w:rsidRPr="009E0336">
                    <w:rPr>
                      <w:rFonts w:ascii="Times New Roman" w:hAnsi="Times New Roman" w:cs="Times New Roman"/>
                      <w:b/>
                      <w:bCs/>
                      <w:sz w:val="20"/>
                      <w:szCs w:val="20"/>
                    </w:rPr>
                    <w:t>40.000,00 €</w:t>
                  </w:r>
                </w:p>
              </w:tc>
              <w:tc>
                <w:tcPr>
                  <w:tcW w:w="15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D68E5A" w14:textId="41C64D90" w:rsidR="002113AC" w:rsidRPr="009E0336" w:rsidRDefault="004A20AD" w:rsidP="002113AC">
                  <w:pPr>
                    <w:widowControl/>
                    <w:spacing w:after="0" w:line="240" w:lineRule="auto"/>
                    <w:jc w:val="right"/>
                    <w:textAlignment w:val="baseline"/>
                    <w:rPr>
                      <w:rFonts w:ascii="Times New Roman" w:hAnsi="Times New Roman" w:cs="Times New Roman"/>
                      <w:b/>
                      <w:bCs/>
                      <w:sz w:val="20"/>
                      <w:szCs w:val="20"/>
                    </w:rPr>
                  </w:pPr>
                  <w:r w:rsidRPr="009E0336">
                    <w:rPr>
                      <w:rFonts w:ascii="Times New Roman" w:hAnsi="Times New Roman" w:cs="Times New Roman"/>
                      <w:b/>
                      <w:bCs/>
                      <w:sz w:val="20"/>
                      <w:szCs w:val="20"/>
                    </w:rPr>
                    <w:t>4</w:t>
                  </w:r>
                  <w:r w:rsidR="002113AC" w:rsidRPr="009E0336">
                    <w:rPr>
                      <w:rFonts w:ascii="Times New Roman" w:hAnsi="Times New Roman" w:cs="Times New Roman"/>
                      <w:b/>
                      <w:bCs/>
                      <w:sz w:val="20"/>
                      <w:szCs w:val="20"/>
                    </w:rPr>
                    <w:t>0.000,00 €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2006D5" w14:textId="138ABCCA" w:rsidR="002113AC" w:rsidRPr="009E0336" w:rsidRDefault="004A20AD" w:rsidP="002113AC">
                  <w:pPr>
                    <w:widowControl/>
                    <w:spacing w:after="0" w:line="240" w:lineRule="auto"/>
                    <w:jc w:val="right"/>
                    <w:textAlignment w:val="baseline"/>
                    <w:rPr>
                      <w:rFonts w:ascii="Times New Roman" w:hAnsi="Times New Roman" w:cs="Times New Roman"/>
                      <w:b/>
                      <w:bCs/>
                      <w:sz w:val="20"/>
                      <w:szCs w:val="20"/>
                    </w:rPr>
                  </w:pPr>
                  <w:r w:rsidRPr="009E0336">
                    <w:rPr>
                      <w:rFonts w:ascii="Times New Roman" w:hAnsi="Times New Roman" w:cs="Times New Roman"/>
                      <w:b/>
                      <w:bCs/>
                      <w:sz w:val="20"/>
                      <w:szCs w:val="20"/>
                    </w:rPr>
                    <w:t>4</w:t>
                  </w:r>
                  <w:r w:rsidR="002113AC" w:rsidRPr="009E0336">
                    <w:rPr>
                      <w:rFonts w:ascii="Times New Roman" w:hAnsi="Times New Roman" w:cs="Times New Roman"/>
                      <w:b/>
                      <w:bCs/>
                      <w:sz w:val="20"/>
                      <w:szCs w:val="20"/>
                    </w:rPr>
                    <w:t>0.000,00 €</w:t>
                  </w:r>
                </w:p>
              </w:tc>
            </w:tr>
          </w:tbl>
          <w:p w14:paraId="4D4E58CE" w14:textId="77777777" w:rsidR="00FA6BF1" w:rsidRPr="009E0336" w:rsidRDefault="00FA6BF1">
            <w:pPr>
              <w:widowControl/>
              <w:spacing w:after="0" w:line="240" w:lineRule="auto"/>
              <w:textAlignment w:val="baseline"/>
              <w:rPr>
                <w:rFonts w:ascii="Times New Roman" w:eastAsia="Times New Roman" w:hAnsi="Times New Roman" w:cs="Times New Roman"/>
                <w:b/>
                <w:bCs/>
                <w:color w:val="000000"/>
                <w:sz w:val="20"/>
                <w:szCs w:val="20"/>
                <w:lang w:eastAsia="hr-HR"/>
              </w:rPr>
            </w:pPr>
          </w:p>
        </w:tc>
      </w:tr>
      <w:tr w:rsidR="00FA6BF1" w:rsidRPr="009E0336" w14:paraId="50F622B3" w14:textId="77777777">
        <w:trPr>
          <w:trHeight w:val="257"/>
        </w:trPr>
        <w:tc>
          <w:tcPr>
            <w:tcW w:w="11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8553436" w14:textId="7F06B355" w:rsidR="00FA6BF1" w:rsidRPr="009E0336" w:rsidRDefault="00091387">
            <w:pPr>
              <w:widowControl/>
              <w:spacing w:after="0" w:line="240" w:lineRule="auto"/>
              <w:textAlignment w:val="baseline"/>
              <w:rPr>
                <w:rFonts w:ascii="Times New Roman" w:hAnsi="Times New Roman" w:cs="Times New Roman"/>
                <w:sz w:val="20"/>
                <w:szCs w:val="20"/>
              </w:rPr>
            </w:pPr>
            <w:r w:rsidRPr="009E0336">
              <w:rPr>
                <w:rFonts w:ascii="Times New Roman" w:eastAsia="Times New Roman" w:hAnsi="Times New Roman" w:cs="Times New Roman"/>
                <w:b/>
                <w:color w:val="000000"/>
                <w:sz w:val="20"/>
                <w:szCs w:val="20"/>
                <w:lang w:eastAsia="hr-HR"/>
              </w:rPr>
              <w:t>Obrazloženja odstupanja od projekcija za 202</w:t>
            </w:r>
            <w:r w:rsidR="00F815A1" w:rsidRPr="009E0336">
              <w:rPr>
                <w:rFonts w:ascii="Times New Roman" w:eastAsia="Times New Roman" w:hAnsi="Times New Roman" w:cs="Times New Roman"/>
                <w:b/>
                <w:color w:val="000000"/>
                <w:sz w:val="20"/>
                <w:szCs w:val="20"/>
                <w:lang w:eastAsia="hr-HR"/>
              </w:rPr>
              <w:t>5</w:t>
            </w:r>
            <w:r w:rsidRPr="009E0336">
              <w:rPr>
                <w:rFonts w:ascii="Times New Roman" w:eastAsia="Times New Roman" w:hAnsi="Times New Roman" w:cs="Times New Roman"/>
                <w:b/>
                <w:color w:val="000000"/>
                <w:sz w:val="20"/>
                <w:szCs w:val="20"/>
                <w:lang w:eastAsia="hr-HR"/>
              </w:rPr>
              <w:t>. i 202</w:t>
            </w:r>
            <w:r w:rsidR="00F815A1" w:rsidRPr="009E0336">
              <w:rPr>
                <w:rFonts w:ascii="Times New Roman" w:eastAsia="Times New Roman" w:hAnsi="Times New Roman" w:cs="Times New Roman"/>
                <w:b/>
                <w:color w:val="000000"/>
                <w:sz w:val="20"/>
                <w:szCs w:val="20"/>
                <w:lang w:eastAsia="hr-HR"/>
              </w:rPr>
              <w:t>6</w:t>
            </w:r>
            <w:r w:rsidRPr="009E0336">
              <w:rPr>
                <w:rFonts w:ascii="Times New Roman" w:eastAsia="Times New Roman" w:hAnsi="Times New Roman" w:cs="Times New Roman"/>
                <w:b/>
                <w:color w:val="000000"/>
                <w:sz w:val="20"/>
                <w:szCs w:val="20"/>
                <w:lang w:eastAsia="hr-HR"/>
              </w:rPr>
              <w:t>. usvojenih u prošlogodišnjem Proračunu</w:t>
            </w:r>
          </w:p>
        </w:tc>
        <w:tc>
          <w:tcPr>
            <w:tcW w:w="822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C0CA84" w14:textId="77777777" w:rsidR="00FA6BF1" w:rsidRPr="009E0336" w:rsidRDefault="00FA6BF1">
            <w:pPr>
              <w:widowControl/>
              <w:snapToGrid w:val="0"/>
              <w:spacing w:after="0" w:line="240" w:lineRule="auto"/>
              <w:jc w:val="both"/>
              <w:rPr>
                <w:rFonts w:ascii="Times New Roman" w:eastAsia="Times New Roman" w:hAnsi="Times New Roman" w:cs="Times New Roman"/>
                <w:iCs/>
                <w:sz w:val="20"/>
                <w:szCs w:val="20"/>
                <w:lang w:eastAsia="hr-HR"/>
              </w:rPr>
            </w:pPr>
          </w:p>
          <w:p w14:paraId="5F5665A0" w14:textId="4435D051" w:rsidR="00B24952" w:rsidRPr="009E0336" w:rsidRDefault="00B24952">
            <w:pPr>
              <w:widowControl/>
              <w:snapToGrid w:val="0"/>
              <w:spacing w:after="0" w:line="240" w:lineRule="auto"/>
              <w:jc w:val="both"/>
              <w:rPr>
                <w:rFonts w:ascii="Times New Roman" w:eastAsia="Times New Roman" w:hAnsi="Times New Roman" w:cs="Times New Roman"/>
                <w:iCs/>
                <w:sz w:val="20"/>
                <w:szCs w:val="20"/>
                <w:lang w:eastAsia="hr-HR"/>
              </w:rPr>
            </w:pPr>
            <w:r w:rsidRPr="009E0336">
              <w:rPr>
                <w:rFonts w:ascii="Times New Roman" w:eastAsia="Times New Roman" w:hAnsi="Times New Roman" w:cs="Times New Roman"/>
                <w:iCs/>
                <w:sz w:val="20"/>
                <w:szCs w:val="20"/>
                <w:lang w:eastAsia="hr-HR"/>
              </w:rPr>
              <w:t>U odnosu na prošlogodišnje projekcije ova aktivnost u 202</w:t>
            </w:r>
            <w:r w:rsidR="009F4167" w:rsidRPr="009E0336">
              <w:rPr>
                <w:rFonts w:ascii="Times New Roman" w:eastAsia="Times New Roman" w:hAnsi="Times New Roman" w:cs="Times New Roman"/>
                <w:iCs/>
                <w:sz w:val="20"/>
                <w:szCs w:val="20"/>
                <w:lang w:eastAsia="hr-HR"/>
              </w:rPr>
              <w:t>5</w:t>
            </w:r>
            <w:r w:rsidRPr="009E0336">
              <w:rPr>
                <w:rFonts w:ascii="Times New Roman" w:eastAsia="Times New Roman" w:hAnsi="Times New Roman" w:cs="Times New Roman"/>
                <w:iCs/>
                <w:sz w:val="20"/>
                <w:szCs w:val="20"/>
                <w:lang w:eastAsia="hr-HR"/>
              </w:rPr>
              <w:t xml:space="preserve">.g. </w:t>
            </w:r>
            <w:r w:rsidR="009F4167" w:rsidRPr="009E0336">
              <w:rPr>
                <w:rFonts w:ascii="Times New Roman" w:eastAsia="Times New Roman" w:hAnsi="Times New Roman" w:cs="Times New Roman"/>
                <w:iCs/>
                <w:sz w:val="20"/>
                <w:szCs w:val="20"/>
                <w:lang w:eastAsia="hr-HR"/>
              </w:rPr>
              <w:t xml:space="preserve">i 2026.g. </w:t>
            </w:r>
            <w:r w:rsidRPr="009E0336">
              <w:rPr>
                <w:rFonts w:ascii="Times New Roman" w:eastAsia="Times New Roman" w:hAnsi="Times New Roman" w:cs="Times New Roman"/>
                <w:iCs/>
                <w:sz w:val="20"/>
                <w:szCs w:val="20"/>
                <w:lang w:eastAsia="hr-HR"/>
              </w:rPr>
              <w:t xml:space="preserve">veća je </w:t>
            </w:r>
            <w:r w:rsidR="009F4167" w:rsidRPr="009E0336">
              <w:rPr>
                <w:rFonts w:ascii="Times New Roman" w:eastAsia="Times New Roman" w:hAnsi="Times New Roman" w:cs="Times New Roman"/>
                <w:iCs/>
                <w:sz w:val="20"/>
                <w:szCs w:val="20"/>
                <w:lang w:eastAsia="hr-HR"/>
              </w:rPr>
              <w:t xml:space="preserve">svake godine za 20.000,00 € </w:t>
            </w:r>
            <w:r w:rsidRPr="009E0336">
              <w:rPr>
                <w:rFonts w:ascii="Times New Roman" w:eastAsia="Times New Roman" w:hAnsi="Times New Roman" w:cs="Times New Roman"/>
                <w:iCs/>
                <w:sz w:val="20"/>
                <w:szCs w:val="20"/>
                <w:lang w:eastAsia="hr-HR"/>
              </w:rPr>
              <w:t>jer se u prošlo</w:t>
            </w:r>
            <w:r w:rsidR="00114158" w:rsidRPr="009E0336">
              <w:rPr>
                <w:rFonts w:ascii="Times New Roman" w:eastAsia="Times New Roman" w:hAnsi="Times New Roman" w:cs="Times New Roman"/>
                <w:iCs/>
                <w:sz w:val="20"/>
                <w:szCs w:val="20"/>
                <w:lang w:eastAsia="hr-HR"/>
              </w:rPr>
              <w:t>j projekciji</w:t>
            </w:r>
            <w:r w:rsidRPr="009E0336">
              <w:rPr>
                <w:rFonts w:ascii="Times New Roman" w:eastAsia="Times New Roman" w:hAnsi="Times New Roman" w:cs="Times New Roman"/>
                <w:iCs/>
                <w:sz w:val="20"/>
                <w:szCs w:val="20"/>
                <w:lang w:eastAsia="hr-HR"/>
              </w:rPr>
              <w:t xml:space="preserve"> planiralo samo održavanje </w:t>
            </w:r>
            <w:r w:rsidRPr="009E0336">
              <w:rPr>
                <w:rFonts w:ascii="Times New Roman" w:eastAsia="Times New Roman" w:hAnsi="Times New Roman" w:cs="Times New Roman"/>
                <w:bCs/>
                <w:iCs/>
                <w:kern w:val="0"/>
                <w:sz w:val="20"/>
                <w:szCs w:val="20"/>
                <w:lang w:eastAsia="ar-SA"/>
              </w:rPr>
              <w:t>automatskih defibrilatora u iznosu od 20.000,00 € dok se u sadašnjem planu planira uz redovno održavanje i nabava novih uređaja.</w:t>
            </w:r>
          </w:p>
          <w:p w14:paraId="34BC5D97" w14:textId="77777777" w:rsidR="00B24952" w:rsidRPr="009E0336" w:rsidRDefault="00B24952">
            <w:pPr>
              <w:widowControl/>
              <w:snapToGrid w:val="0"/>
              <w:spacing w:after="0" w:line="240" w:lineRule="auto"/>
              <w:jc w:val="both"/>
              <w:rPr>
                <w:rFonts w:ascii="Times New Roman" w:eastAsia="Times New Roman" w:hAnsi="Times New Roman" w:cs="Times New Roman"/>
                <w:iCs/>
                <w:sz w:val="20"/>
                <w:szCs w:val="20"/>
                <w:lang w:eastAsia="hr-HR"/>
              </w:rPr>
            </w:pPr>
          </w:p>
          <w:p w14:paraId="6A260E0E" w14:textId="29E88299" w:rsidR="00FA6BF1" w:rsidRPr="009E0336" w:rsidRDefault="00FA6BF1">
            <w:pPr>
              <w:widowControl/>
              <w:snapToGrid w:val="0"/>
              <w:spacing w:after="0" w:line="240" w:lineRule="auto"/>
              <w:jc w:val="both"/>
              <w:rPr>
                <w:rFonts w:ascii="Times New Roman" w:hAnsi="Times New Roman" w:cs="Times New Roman"/>
                <w:bCs/>
                <w:iCs/>
                <w:sz w:val="20"/>
                <w:szCs w:val="20"/>
              </w:rPr>
            </w:pPr>
          </w:p>
        </w:tc>
      </w:tr>
    </w:tbl>
    <w:p w14:paraId="0D9E1149" w14:textId="77777777" w:rsidR="00FA6BF1" w:rsidRPr="009E0336" w:rsidRDefault="00FA6BF1">
      <w:pPr>
        <w:pStyle w:val="Standard"/>
        <w:rPr>
          <w:sz w:val="20"/>
          <w:szCs w:val="20"/>
        </w:rPr>
      </w:pPr>
    </w:p>
    <w:tbl>
      <w:tblPr>
        <w:tblW w:w="9401" w:type="dxa"/>
        <w:tblInd w:w="-108" w:type="dxa"/>
        <w:tblLayout w:type="fixed"/>
        <w:tblCellMar>
          <w:left w:w="10" w:type="dxa"/>
          <w:right w:w="10" w:type="dxa"/>
        </w:tblCellMar>
        <w:tblLook w:val="04A0" w:firstRow="1" w:lastRow="0" w:firstColumn="1" w:lastColumn="0" w:noHBand="0" w:noVBand="1"/>
      </w:tblPr>
      <w:tblGrid>
        <w:gridCol w:w="1245"/>
        <w:gridCol w:w="1050"/>
        <w:gridCol w:w="928"/>
        <w:gridCol w:w="1276"/>
        <w:gridCol w:w="1133"/>
        <w:gridCol w:w="1230"/>
        <w:gridCol w:w="1269"/>
        <w:gridCol w:w="1270"/>
      </w:tblGrid>
      <w:tr w:rsidR="00FA6BF1" w:rsidRPr="009E0336" w14:paraId="0DFF33E6" w14:textId="77777777">
        <w:trPr>
          <w:trHeight w:val="651"/>
        </w:trPr>
        <w:tc>
          <w:tcPr>
            <w:tcW w:w="124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409D259" w14:textId="77777777" w:rsidR="00FA6BF1" w:rsidRPr="009E0336" w:rsidRDefault="00091387">
            <w:pPr>
              <w:pStyle w:val="Standard"/>
              <w:rPr>
                <w:sz w:val="20"/>
                <w:szCs w:val="20"/>
              </w:rPr>
            </w:pPr>
            <w:r w:rsidRPr="009E0336">
              <w:rPr>
                <w:b/>
                <w:sz w:val="20"/>
                <w:szCs w:val="20"/>
              </w:rPr>
              <w:t>Pokazatelj rezultata</w:t>
            </w:r>
          </w:p>
        </w:tc>
        <w:tc>
          <w:tcPr>
            <w:tcW w:w="105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7D755FC" w14:textId="77777777" w:rsidR="00FA6BF1" w:rsidRPr="009E0336" w:rsidRDefault="00091387">
            <w:pPr>
              <w:pStyle w:val="Standard"/>
              <w:jc w:val="center"/>
              <w:rPr>
                <w:sz w:val="20"/>
                <w:szCs w:val="20"/>
              </w:rPr>
            </w:pPr>
            <w:r w:rsidRPr="009E0336">
              <w:rPr>
                <w:b/>
                <w:sz w:val="20"/>
                <w:szCs w:val="20"/>
              </w:rPr>
              <w:t>Definicija</w:t>
            </w:r>
          </w:p>
        </w:tc>
        <w:tc>
          <w:tcPr>
            <w:tcW w:w="92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B0A5A1E" w14:textId="77777777" w:rsidR="00FA6BF1" w:rsidRPr="009E0336" w:rsidRDefault="00091387">
            <w:pPr>
              <w:pStyle w:val="Standard"/>
              <w:jc w:val="center"/>
              <w:rPr>
                <w:sz w:val="20"/>
                <w:szCs w:val="20"/>
              </w:rPr>
            </w:pPr>
            <w:r w:rsidRPr="009E0336">
              <w:rPr>
                <w:b/>
                <w:sz w:val="20"/>
                <w:szCs w:val="20"/>
              </w:rPr>
              <w:t>Jedinica</w:t>
            </w:r>
          </w:p>
        </w:tc>
        <w:tc>
          <w:tcPr>
            <w:tcW w:w="12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7302C3C" w14:textId="40562652" w:rsidR="00FA6BF1" w:rsidRPr="009E0336" w:rsidRDefault="00091387">
            <w:pPr>
              <w:pStyle w:val="Standard"/>
              <w:jc w:val="center"/>
              <w:rPr>
                <w:sz w:val="20"/>
                <w:szCs w:val="20"/>
              </w:rPr>
            </w:pPr>
            <w:r w:rsidRPr="009E0336">
              <w:rPr>
                <w:b/>
                <w:sz w:val="20"/>
                <w:szCs w:val="20"/>
              </w:rPr>
              <w:t>Polazna vrijednost 202</w:t>
            </w:r>
            <w:r w:rsidR="007077C9" w:rsidRPr="009E0336">
              <w:rPr>
                <w:b/>
                <w:sz w:val="20"/>
                <w:szCs w:val="20"/>
              </w:rPr>
              <w:t>4</w:t>
            </w:r>
            <w:r w:rsidRPr="009E0336">
              <w:rPr>
                <w:b/>
                <w:sz w:val="20"/>
                <w:szCs w:val="20"/>
              </w:rPr>
              <w:t>.</w:t>
            </w:r>
          </w:p>
        </w:tc>
        <w:tc>
          <w:tcPr>
            <w:tcW w:w="113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E1DACAC" w14:textId="77777777" w:rsidR="00FA6BF1" w:rsidRPr="009E0336" w:rsidRDefault="00091387">
            <w:pPr>
              <w:pStyle w:val="Standard"/>
              <w:jc w:val="center"/>
              <w:rPr>
                <w:sz w:val="20"/>
                <w:szCs w:val="20"/>
              </w:rPr>
            </w:pPr>
            <w:r w:rsidRPr="009E0336">
              <w:rPr>
                <w:b/>
                <w:sz w:val="20"/>
                <w:szCs w:val="20"/>
              </w:rPr>
              <w:t>Izvor podataka</w:t>
            </w:r>
          </w:p>
        </w:tc>
        <w:tc>
          <w:tcPr>
            <w:tcW w:w="123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3762923" w14:textId="25F9A15C" w:rsidR="00FA6BF1" w:rsidRPr="009E0336" w:rsidRDefault="00091387">
            <w:pPr>
              <w:pStyle w:val="Standard"/>
              <w:jc w:val="center"/>
              <w:rPr>
                <w:sz w:val="20"/>
                <w:szCs w:val="20"/>
              </w:rPr>
            </w:pPr>
            <w:r w:rsidRPr="009E0336">
              <w:rPr>
                <w:b/>
                <w:sz w:val="20"/>
                <w:szCs w:val="20"/>
              </w:rPr>
              <w:t>Ciljana vrijednost 202</w:t>
            </w:r>
            <w:r w:rsidR="007077C9" w:rsidRPr="009E0336">
              <w:rPr>
                <w:b/>
                <w:sz w:val="20"/>
                <w:szCs w:val="20"/>
              </w:rPr>
              <w:t>5</w:t>
            </w:r>
            <w:r w:rsidRPr="009E0336">
              <w:rPr>
                <w:b/>
                <w:sz w:val="20"/>
                <w:szCs w:val="20"/>
              </w:rPr>
              <w:t>.</w:t>
            </w:r>
          </w:p>
        </w:tc>
        <w:tc>
          <w:tcPr>
            <w:tcW w:w="1269"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14F7B5" w14:textId="22C1684D" w:rsidR="00FA6BF1" w:rsidRPr="009E0336" w:rsidRDefault="00091387">
            <w:pPr>
              <w:pStyle w:val="Standard"/>
              <w:jc w:val="center"/>
              <w:rPr>
                <w:sz w:val="20"/>
                <w:szCs w:val="20"/>
              </w:rPr>
            </w:pPr>
            <w:r w:rsidRPr="009E0336">
              <w:rPr>
                <w:b/>
                <w:sz w:val="20"/>
                <w:szCs w:val="20"/>
              </w:rPr>
              <w:t>Ciljana vrijednost 202</w:t>
            </w:r>
            <w:r w:rsidR="007077C9" w:rsidRPr="009E0336">
              <w:rPr>
                <w:b/>
                <w:sz w:val="20"/>
                <w:szCs w:val="20"/>
              </w:rPr>
              <w:t>6</w:t>
            </w:r>
            <w:r w:rsidRPr="009E0336">
              <w:rPr>
                <w:b/>
                <w:sz w:val="20"/>
                <w:szCs w:val="20"/>
              </w:rPr>
              <w:t>.</w:t>
            </w:r>
          </w:p>
        </w:tc>
        <w:tc>
          <w:tcPr>
            <w:tcW w:w="127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A6FCC58" w14:textId="38BC5184" w:rsidR="00FA6BF1" w:rsidRPr="009E0336" w:rsidRDefault="00091387">
            <w:pPr>
              <w:pStyle w:val="Standard"/>
              <w:jc w:val="center"/>
              <w:rPr>
                <w:sz w:val="20"/>
                <w:szCs w:val="20"/>
              </w:rPr>
            </w:pPr>
            <w:r w:rsidRPr="009E0336">
              <w:rPr>
                <w:b/>
                <w:sz w:val="20"/>
                <w:szCs w:val="20"/>
              </w:rPr>
              <w:t>Ciljana vrijednost 202</w:t>
            </w:r>
            <w:r w:rsidR="007077C9" w:rsidRPr="009E0336">
              <w:rPr>
                <w:b/>
                <w:sz w:val="20"/>
                <w:szCs w:val="20"/>
              </w:rPr>
              <w:t>7</w:t>
            </w:r>
            <w:r w:rsidRPr="009E0336">
              <w:rPr>
                <w:b/>
                <w:sz w:val="20"/>
                <w:szCs w:val="20"/>
              </w:rPr>
              <w:t>.</w:t>
            </w:r>
          </w:p>
        </w:tc>
      </w:tr>
      <w:tr w:rsidR="00FA6BF1" w:rsidRPr="009E0336" w14:paraId="69B5DC20" w14:textId="77777777">
        <w:trPr>
          <w:trHeight w:val="219"/>
        </w:trPr>
        <w:tc>
          <w:tcPr>
            <w:tcW w:w="1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76AF90" w14:textId="3FE5D16D" w:rsidR="00FA6BF1" w:rsidRPr="009E0336" w:rsidRDefault="00F44D02">
            <w:pPr>
              <w:pStyle w:val="Standard"/>
              <w:rPr>
                <w:sz w:val="20"/>
                <w:szCs w:val="20"/>
              </w:rPr>
            </w:pPr>
            <w:r w:rsidRPr="009E0336">
              <w:rPr>
                <w:sz w:val="20"/>
                <w:szCs w:val="20"/>
              </w:rPr>
              <w:t xml:space="preserve">Povećanje </w:t>
            </w:r>
            <w:r w:rsidR="00091387" w:rsidRPr="009E0336">
              <w:rPr>
                <w:sz w:val="20"/>
                <w:szCs w:val="20"/>
              </w:rPr>
              <w:t xml:space="preserve"> dostupnost</w:t>
            </w:r>
            <w:r w:rsidRPr="009E0336">
              <w:rPr>
                <w:sz w:val="20"/>
                <w:szCs w:val="20"/>
              </w:rPr>
              <w:t>i</w:t>
            </w:r>
            <w:r w:rsidR="00091387" w:rsidRPr="009E0336">
              <w:rPr>
                <w:sz w:val="20"/>
                <w:szCs w:val="20"/>
              </w:rPr>
              <w:t xml:space="preserve"> medicinske opreme u kritičnim životnim situacijama</w:t>
            </w:r>
          </w:p>
        </w:tc>
        <w:tc>
          <w:tcPr>
            <w:tcW w:w="10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39D2D8" w14:textId="54890C6A" w:rsidR="00FA6BF1" w:rsidRPr="009E0336" w:rsidRDefault="00F44D02">
            <w:pPr>
              <w:pStyle w:val="Standard"/>
              <w:rPr>
                <w:sz w:val="20"/>
                <w:szCs w:val="20"/>
              </w:rPr>
            </w:pPr>
            <w:r w:rsidRPr="009E0336">
              <w:rPr>
                <w:sz w:val="20"/>
                <w:szCs w:val="20"/>
              </w:rPr>
              <w:t>Povećanjem broja automatskih vanjskih defibrilatora i k</w:t>
            </w:r>
            <w:r w:rsidR="00091387" w:rsidRPr="009E0336">
              <w:rPr>
                <w:sz w:val="20"/>
                <w:szCs w:val="20"/>
              </w:rPr>
              <w:t>ontinuiranim</w:t>
            </w:r>
            <w:r w:rsidRPr="009E0336">
              <w:rPr>
                <w:sz w:val="20"/>
                <w:szCs w:val="20"/>
              </w:rPr>
              <w:t xml:space="preserve"> </w:t>
            </w:r>
            <w:r w:rsidR="00091387" w:rsidRPr="009E0336">
              <w:rPr>
                <w:sz w:val="20"/>
                <w:szCs w:val="20"/>
              </w:rPr>
              <w:t>održavanjem veće su mogućnosti spašavanja života osoba</w:t>
            </w:r>
            <w:r w:rsidRPr="009E0336">
              <w:rPr>
                <w:sz w:val="20"/>
                <w:szCs w:val="20"/>
              </w:rPr>
              <w:t xml:space="preserve"> na javnim mjestima</w:t>
            </w:r>
          </w:p>
        </w:tc>
        <w:tc>
          <w:tcPr>
            <w:tcW w:w="9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5A96C4" w14:textId="77777777" w:rsidR="00FA6BF1" w:rsidRPr="009E0336" w:rsidRDefault="00091387">
            <w:pPr>
              <w:pStyle w:val="Standard"/>
              <w:rPr>
                <w:sz w:val="20"/>
                <w:szCs w:val="20"/>
              </w:rPr>
            </w:pPr>
            <w:r w:rsidRPr="009E0336">
              <w:rPr>
                <w:sz w:val="20"/>
                <w:szCs w:val="20"/>
              </w:rPr>
              <w:t xml:space="preserve">Broj ispravnih automatskih defibrilatora </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569F11" w14:textId="074B0B8A" w:rsidR="00FA6BF1" w:rsidRPr="009E0336" w:rsidRDefault="009E0BAE" w:rsidP="00627A27">
            <w:pPr>
              <w:pStyle w:val="Standard"/>
              <w:jc w:val="center"/>
              <w:rPr>
                <w:sz w:val="20"/>
                <w:szCs w:val="20"/>
              </w:rPr>
            </w:pPr>
            <w:r w:rsidRPr="009E0336">
              <w:rPr>
                <w:sz w:val="20"/>
                <w:szCs w:val="20"/>
              </w:rPr>
              <w:t>43</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211C0E" w14:textId="1DD195A2" w:rsidR="00FA6BF1" w:rsidRPr="009E0336" w:rsidRDefault="00091387" w:rsidP="00627A27">
            <w:pPr>
              <w:pStyle w:val="Standard"/>
              <w:jc w:val="center"/>
              <w:rPr>
                <w:sz w:val="20"/>
                <w:szCs w:val="20"/>
              </w:rPr>
            </w:pPr>
            <w:r w:rsidRPr="009E0336">
              <w:rPr>
                <w:sz w:val="20"/>
                <w:szCs w:val="20"/>
              </w:rPr>
              <w:t>Z</w:t>
            </w:r>
            <w:r w:rsidR="00A43490" w:rsidRPr="009E0336">
              <w:rPr>
                <w:sz w:val="20"/>
                <w:szCs w:val="20"/>
              </w:rPr>
              <w:t>avod</w:t>
            </w:r>
          </w:p>
        </w:tc>
        <w:tc>
          <w:tcPr>
            <w:tcW w:w="12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3E067F" w14:textId="5FA270E0" w:rsidR="00FA6BF1" w:rsidRPr="009E0336" w:rsidRDefault="009E0BAE" w:rsidP="00627A27">
            <w:pPr>
              <w:pStyle w:val="Standard"/>
              <w:jc w:val="center"/>
              <w:rPr>
                <w:sz w:val="20"/>
                <w:szCs w:val="20"/>
              </w:rPr>
            </w:pPr>
            <w:r w:rsidRPr="009E0336">
              <w:rPr>
                <w:sz w:val="20"/>
                <w:szCs w:val="20"/>
              </w:rPr>
              <w:t>49</w:t>
            </w:r>
          </w:p>
        </w:tc>
        <w:tc>
          <w:tcPr>
            <w:tcW w:w="12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8C25ED" w14:textId="1EF58C4E" w:rsidR="00FA6BF1" w:rsidRPr="009E0336" w:rsidRDefault="009E0BAE" w:rsidP="00627A27">
            <w:pPr>
              <w:pStyle w:val="Standard"/>
              <w:jc w:val="center"/>
              <w:rPr>
                <w:sz w:val="20"/>
                <w:szCs w:val="20"/>
              </w:rPr>
            </w:pPr>
            <w:r w:rsidRPr="009E0336">
              <w:rPr>
                <w:sz w:val="20"/>
                <w:szCs w:val="20"/>
              </w:rPr>
              <w:t>55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97F59A" w14:textId="0BFDF31A" w:rsidR="00FA6BF1" w:rsidRPr="009E0336" w:rsidRDefault="009E0BAE" w:rsidP="00627A27">
            <w:pPr>
              <w:pStyle w:val="Standard"/>
              <w:jc w:val="center"/>
              <w:rPr>
                <w:sz w:val="20"/>
                <w:szCs w:val="20"/>
              </w:rPr>
            </w:pPr>
            <w:r w:rsidRPr="009E0336">
              <w:rPr>
                <w:sz w:val="20"/>
                <w:szCs w:val="20"/>
              </w:rPr>
              <w:t>61</w:t>
            </w:r>
          </w:p>
        </w:tc>
      </w:tr>
    </w:tbl>
    <w:p w14:paraId="00CAA6E6" w14:textId="77777777" w:rsidR="00FA6BF1" w:rsidRPr="009E0336" w:rsidRDefault="00FA6BF1">
      <w:pPr>
        <w:pStyle w:val="Standard"/>
        <w:rPr>
          <w:sz w:val="20"/>
          <w:szCs w:val="20"/>
        </w:rPr>
      </w:pPr>
    </w:p>
    <w:p w14:paraId="76808A5B" w14:textId="77777777" w:rsidR="00625DC9" w:rsidRPr="009E0336" w:rsidRDefault="00625DC9">
      <w:pPr>
        <w:pStyle w:val="Standard"/>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7"/>
        <w:gridCol w:w="3948"/>
        <w:gridCol w:w="3667"/>
      </w:tblGrid>
      <w:tr w:rsidR="006E02AC" w:rsidRPr="009E0336" w14:paraId="55D36FC2" w14:textId="77777777" w:rsidTr="006E02AC">
        <w:trPr>
          <w:trHeight w:val="517"/>
        </w:trPr>
        <w:tc>
          <w:tcPr>
            <w:tcW w:w="1696" w:type="dxa"/>
            <w:shd w:val="clear" w:color="auto" w:fill="D9D9D9"/>
          </w:tcPr>
          <w:p w14:paraId="4ED2A698"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b/>
                <w:bCs/>
                <w:color w:val="000000"/>
                <w:kern w:val="0"/>
                <w:sz w:val="20"/>
                <w:szCs w:val="20"/>
                <w:lang w:eastAsia="hr-HR"/>
              </w:rPr>
            </w:pPr>
            <w:r w:rsidRPr="009E0336">
              <w:rPr>
                <w:rFonts w:ascii="Times New Roman" w:eastAsia="Times New Roman" w:hAnsi="Times New Roman" w:cs="Times New Roman"/>
                <w:b/>
                <w:bCs/>
                <w:color w:val="000000"/>
                <w:kern w:val="0"/>
                <w:sz w:val="20"/>
                <w:szCs w:val="20"/>
                <w:lang w:eastAsia="hr-HR"/>
              </w:rPr>
              <w:t>Aktivnost/ Projekt:</w:t>
            </w:r>
          </w:p>
        </w:tc>
        <w:tc>
          <w:tcPr>
            <w:tcW w:w="3864" w:type="dxa"/>
            <w:shd w:val="clear" w:color="auto" w:fill="auto"/>
          </w:tcPr>
          <w:p w14:paraId="024DEA31"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b/>
                <w:bCs/>
                <w:color w:val="000000"/>
                <w:kern w:val="0"/>
                <w:sz w:val="20"/>
                <w:szCs w:val="20"/>
                <w:lang w:eastAsia="hr-HR"/>
              </w:rPr>
            </w:pPr>
            <w:r w:rsidRPr="009E0336">
              <w:rPr>
                <w:rFonts w:ascii="Times New Roman" w:eastAsia="Times New Roman" w:hAnsi="Times New Roman" w:cs="Times New Roman"/>
                <w:b/>
                <w:bCs/>
                <w:color w:val="000000"/>
                <w:kern w:val="0"/>
                <w:sz w:val="20"/>
                <w:szCs w:val="20"/>
                <w:lang w:eastAsia="hr-HR"/>
              </w:rPr>
              <w:t>A003020T302013</w:t>
            </w:r>
          </w:p>
        </w:tc>
        <w:tc>
          <w:tcPr>
            <w:tcW w:w="3842" w:type="dxa"/>
            <w:shd w:val="clear" w:color="auto" w:fill="auto"/>
          </w:tcPr>
          <w:p w14:paraId="021E0C88"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b/>
                <w:bCs/>
                <w:color w:val="000000"/>
                <w:kern w:val="0"/>
                <w:sz w:val="20"/>
                <w:szCs w:val="20"/>
                <w:lang w:eastAsia="hr-HR"/>
              </w:rPr>
            </w:pPr>
            <w:r w:rsidRPr="009E0336">
              <w:rPr>
                <w:rFonts w:ascii="Times New Roman" w:eastAsia="Times New Roman" w:hAnsi="Times New Roman" w:cs="Times New Roman"/>
                <w:b/>
                <w:bCs/>
                <w:color w:val="000000"/>
                <w:kern w:val="0"/>
                <w:sz w:val="20"/>
                <w:szCs w:val="20"/>
                <w:lang w:eastAsia="hr-HR"/>
              </w:rPr>
              <w:t>Nacionalni plan oporavka i otpornosti - Centralno financiranje specijalizacija doktora medicine</w:t>
            </w:r>
          </w:p>
        </w:tc>
      </w:tr>
      <w:tr w:rsidR="006E02AC" w:rsidRPr="009E0336" w14:paraId="15D3FC0F" w14:textId="77777777" w:rsidTr="006E02AC">
        <w:trPr>
          <w:trHeight w:val="517"/>
        </w:trPr>
        <w:tc>
          <w:tcPr>
            <w:tcW w:w="1696" w:type="dxa"/>
            <w:shd w:val="clear" w:color="auto" w:fill="D9D9D9"/>
          </w:tcPr>
          <w:p w14:paraId="2B7358B7"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b/>
                <w:bCs/>
                <w:color w:val="000000"/>
                <w:kern w:val="0"/>
                <w:sz w:val="20"/>
                <w:szCs w:val="20"/>
                <w:lang w:eastAsia="hr-HR"/>
              </w:rPr>
            </w:pPr>
            <w:r w:rsidRPr="009E0336">
              <w:rPr>
                <w:rFonts w:ascii="Times New Roman" w:eastAsia="Times New Roman" w:hAnsi="Times New Roman" w:cs="Times New Roman"/>
                <w:b/>
                <w:bCs/>
                <w:color w:val="000000"/>
                <w:kern w:val="0"/>
                <w:sz w:val="20"/>
                <w:szCs w:val="20"/>
                <w:lang w:eastAsia="hr-HR"/>
              </w:rPr>
              <w:t>Zakonska i druga pravna osnova:</w:t>
            </w:r>
          </w:p>
        </w:tc>
        <w:tc>
          <w:tcPr>
            <w:tcW w:w="7706" w:type="dxa"/>
            <w:gridSpan w:val="2"/>
            <w:shd w:val="clear" w:color="auto" w:fill="auto"/>
          </w:tcPr>
          <w:p w14:paraId="031F1E41" w14:textId="77777777" w:rsidR="006E02AC" w:rsidRPr="009E0336" w:rsidRDefault="006E02AC" w:rsidP="00C86136">
            <w:pPr>
              <w:widowControl/>
              <w:suppressAutoHyphens w:val="0"/>
              <w:autoSpaceDN/>
              <w:spacing w:after="0" w:line="240" w:lineRule="auto"/>
              <w:jc w:val="both"/>
              <w:rPr>
                <w:rFonts w:ascii="Times New Roman" w:hAnsi="Times New Roman" w:cs="Times New Roman"/>
                <w:sz w:val="20"/>
                <w:szCs w:val="20"/>
              </w:rPr>
            </w:pPr>
            <w:r w:rsidRPr="009E0336">
              <w:rPr>
                <w:rFonts w:ascii="Times New Roman" w:eastAsia="Symbol" w:hAnsi="Times New Roman" w:cs="Times New Roman"/>
                <w:sz w:val="20"/>
                <w:szCs w:val="20"/>
                <w:lang w:val="pl-PL"/>
              </w:rPr>
              <w:t xml:space="preserve">Zakon o zdravstvenoj zaštiti, Zakon o obveznom zdravstvenom osiguranju, Pravilnik o mjerilima za prijam specijalizanata, Pravilnik o specijalističkom usavršavanju doktora medicine, Pravilnik o proračunskom računovodstvu i računskom planu, Kolektivni ugovor za djelatnost zdravstva i zdravstvenog osiguranja, Nacionalni plan razvoja zdravstva 2021.-2027., </w:t>
            </w:r>
            <w:r w:rsidRPr="009E0336">
              <w:rPr>
                <w:rFonts w:ascii="Times New Roman" w:hAnsi="Times New Roman" w:cs="Times New Roman"/>
                <w:sz w:val="20"/>
                <w:szCs w:val="20"/>
              </w:rPr>
              <w:t>Odluka o financiranju projekta specijalističkog usavršavanja za djelatnosti prihvatljive za financiranje iz sredstava Centralno financiranje specijalizacija u okviru Nacionalnog plana oporavka i otpornosti 2021.-2026., Ugovor o dodjeli bespovratnih sredstava Specijalističko usavršavanje doktora iz hitne medicine ZHMSDŽ BR.9, kodni broj: NPOO.C5.1.R3-I1.01.088</w:t>
            </w:r>
          </w:p>
          <w:p w14:paraId="5BD858D0" w14:textId="77777777" w:rsidR="006E02AC" w:rsidRPr="009E0336" w:rsidRDefault="006E02AC" w:rsidP="00C86136">
            <w:pPr>
              <w:widowControl/>
              <w:suppressAutoHyphens w:val="0"/>
              <w:autoSpaceDN/>
              <w:spacing w:after="0" w:line="240" w:lineRule="auto"/>
              <w:rPr>
                <w:rFonts w:ascii="Times New Roman" w:eastAsia="Symbol" w:hAnsi="Times New Roman" w:cs="Times New Roman"/>
                <w:color w:val="000000"/>
                <w:kern w:val="0"/>
                <w:sz w:val="20"/>
                <w:szCs w:val="20"/>
                <w:lang w:val="pl-PL" w:eastAsia="hr-HR"/>
              </w:rPr>
            </w:pPr>
          </w:p>
        </w:tc>
      </w:tr>
      <w:tr w:rsidR="006E02AC" w:rsidRPr="009E0336" w14:paraId="5B600427" w14:textId="77777777" w:rsidTr="006E02AC">
        <w:trPr>
          <w:trHeight w:val="257"/>
        </w:trPr>
        <w:tc>
          <w:tcPr>
            <w:tcW w:w="1696" w:type="dxa"/>
            <w:shd w:val="clear" w:color="auto" w:fill="D9D9D9"/>
          </w:tcPr>
          <w:p w14:paraId="0079836D"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b/>
                <w:bCs/>
                <w:color w:val="000000"/>
                <w:kern w:val="0"/>
                <w:sz w:val="20"/>
                <w:szCs w:val="20"/>
                <w:lang w:eastAsia="hr-HR"/>
              </w:rPr>
            </w:pPr>
            <w:r w:rsidRPr="009E0336">
              <w:rPr>
                <w:rFonts w:ascii="Times New Roman" w:eastAsia="Times New Roman" w:hAnsi="Times New Roman" w:cs="Times New Roman"/>
                <w:b/>
                <w:bCs/>
                <w:color w:val="000000"/>
                <w:kern w:val="0"/>
                <w:sz w:val="20"/>
                <w:szCs w:val="20"/>
                <w:lang w:eastAsia="hr-HR"/>
              </w:rPr>
              <w:t xml:space="preserve">Opis aktivnosti / projekta </w:t>
            </w:r>
          </w:p>
        </w:tc>
        <w:tc>
          <w:tcPr>
            <w:tcW w:w="7706" w:type="dxa"/>
            <w:gridSpan w:val="2"/>
            <w:tcBorders>
              <w:top w:val="single" w:sz="4" w:space="0" w:color="00000A"/>
              <w:left w:val="single" w:sz="4" w:space="0" w:color="00000A"/>
              <w:bottom w:val="single" w:sz="4" w:space="0" w:color="00000A"/>
              <w:right w:val="single" w:sz="4" w:space="0" w:color="00000A"/>
            </w:tcBorders>
            <w:shd w:val="clear" w:color="auto" w:fill="FFFFFF"/>
          </w:tcPr>
          <w:p w14:paraId="50B39402" w14:textId="77777777" w:rsidR="006E02AC" w:rsidRPr="009E0336" w:rsidRDefault="006E02AC" w:rsidP="00C86136">
            <w:pPr>
              <w:snapToGrid w:val="0"/>
              <w:jc w:val="both"/>
              <w:rPr>
                <w:rFonts w:ascii="Times New Roman" w:hAnsi="Times New Roman" w:cs="Times New Roman"/>
                <w:sz w:val="20"/>
                <w:szCs w:val="20"/>
              </w:rPr>
            </w:pPr>
            <w:r w:rsidRPr="009E0336">
              <w:rPr>
                <w:rFonts w:ascii="Times New Roman" w:hAnsi="Times New Roman" w:cs="Times New Roman"/>
                <w:sz w:val="20"/>
                <w:szCs w:val="20"/>
              </w:rPr>
              <w:t xml:space="preserve">Cilj ovog projekta je, kroz financiranje specijalističkog usavršavanja doktora medicine, osigurati jačanje otpornosti zdravstvenog sustava i njegove sposobnosti da odgovori na zdravstvene krize poboljšanjem pristupa uslugama zdravstvene zaštite u depriviranim područjima i visokokvalitetnim uslugama hitne medicine na području Splitsko-dalmatinske županije. </w:t>
            </w:r>
          </w:p>
          <w:p w14:paraId="1441FF66" w14:textId="77777777" w:rsidR="006E02AC" w:rsidRPr="009E0336" w:rsidRDefault="006E02AC" w:rsidP="00C86136">
            <w:pPr>
              <w:snapToGrid w:val="0"/>
              <w:jc w:val="both"/>
              <w:rPr>
                <w:rFonts w:ascii="Times New Roman" w:hAnsi="Times New Roman" w:cs="Times New Roman"/>
                <w:sz w:val="20"/>
                <w:szCs w:val="20"/>
              </w:rPr>
            </w:pPr>
            <w:r w:rsidRPr="009E0336">
              <w:rPr>
                <w:rFonts w:ascii="Times New Roman" w:hAnsi="Times New Roman" w:cs="Times New Roman"/>
                <w:sz w:val="20"/>
                <w:szCs w:val="20"/>
              </w:rPr>
              <w:t xml:space="preserve">Donošenjem nove Mreže hitne medicine i sanitetskog prijevoza (NN 134/2023) povećan je broj timova hitne medicine koji treba biti uspostavljen na području Splitsko-dalmatinske županije. Sukladno standardu za popunjavanje timova potrebno je imati zaposleno 100 doktora specijalista hitne medicine. Međutim, u Zavodu je zaposleno 40 doktora specijalista hitne medicine, što je svakako nedovoljno, posebice u slučaju pojave zdravstvene krize poput pandemije COVID-19. </w:t>
            </w:r>
          </w:p>
          <w:p w14:paraId="42EFB5DC" w14:textId="77777777" w:rsidR="006E02AC" w:rsidRPr="009E0336" w:rsidRDefault="006E02AC" w:rsidP="00C86136">
            <w:pPr>
              <w:snapToGrid w:val="0"/>
              <w:jc w:val="both"/>
              <w:rPr>
                <w:rFonts w:ascii="Times New Roman" w:hAnsi="Times New Roman" w:cs="Times New Roman"/>
                <w:sz w:val="20"/>
                <w:szCs w:val="20"/>
              </w:rPr>
            </w:pPr>
            <w:r w:rsidRPr="009E0336">
              <w:rPr>
                <w:rFonts w:ascii="Times New Roman" w:hAnsi="Times New Roman" w:cs="Times New Roman"/>
                <w:sz w:val="20"/>
                <w:szCs w:val="20"/>
              </w:rPr>
              <w:t>U svrhu pomoći zemljama članicama, na razini Europske unije je donesen izvanredni instrument financiranja Mehanizam za oporavak i otpornost koji ima za cilj, između ostalog, ojačati zdravstveni sustav u slučaju nove krize.</w:t>
            </w:r>
          </w:p>
          <w:p w14:paraId="01208F8B" w14:textId="77777777" w:rsidR="006E02AC" w:rsidRPr="009E0336" w:rsidRDefault="006E02AC" w:rsidP="00C86136">
            <w:pPr>
              <w:snapToGrid w:val="0"/>
              <w:jc w:val="both"/>
              <w:rPr>
                <w:rFonts w:ascii="Times New Roman" w:hAnsi="Times New Roman" w:cs="Times New Roman"/>
                <w:sz w:val="20"/>
                <w:szCs w:val="20"/>
              </w:rPr>
            </w:pPr>
            <w:bookmarkStart w:id="2" w:name="_Hlk136515726"/>
            <w:r w:rsidRPr="009E0336">
              <w:rPr>
                <w:rFonts w:ascii="Times New Roman" w:hAnsi="Times New Roman" w:cs="Times New Roman"/>
                <w:sz w:val="20"/>
                <w:szCs w:val="20"/>
              </w:rPr>
              <w:t>Prijavom projekata specijalističkog usavršavanja doktora iz hitne medicine prihvatljiva za financiranje iz sredstava Centralno financiranje specijalizacija u okviru Nacionalnog plana oporavka i otpornosti za razdoblje 2021.-2026., a koji proizlazi iz instrumenta Mehanizam za oporavak i otpornost, Zavodu za hitnu medicinu SDŽ biti će omogućeno financiranje dvije specijalizacije doktora iz hitne medicine, koje se financiraju 100 % sredstvima fondova EU u okviru Nacionalnog plana oporavka i otpornosti 2021.-2026</w:t>
            </w:r>
            <w:bookmarkEnd w:id="2"/>
            <w:r w:rsidRPr="009E0336">
              <w:rPr>
                <w:rFonts w:ascii="Times New Roman" w:hAnsi="Times New Roman" w:cs="Times New Roman"/>
                <w:sz w:val="20"/>
                <w:szCs w:val="20"/>
              </w:rPr>
              <w:t>.</w:t>
            </w:r>
          </w:p>
          <w:p w14:paraId="592F7A12" w14:textId="77777777" w:rsidR="006E02AC" w:rsidRPr="009E0336" w:rsidRDefault="006E02AC" w:rsidP="00C86136">
            <w:pPr>
              <w:snapToGrid w:val="0"/>
              <w:jc w:val="both"/>
              <w:rPr>
                <w:rFonts w:ascii="Times New Roman" w:hAnsi="Times New Roman" w:cs="Times New Roman"/>
                <w:sz w:val="20"/>
                <w:szCs w:val="20"/>
              </w:rPr>
            </w:pPr>
            <w:r w:rsidRPr="009E0336">
              <w:rPr>
                <w:rFonts w:ascii="Times New Roman" w:hAnsi="Times New Roman" w:cs="Times New Roman"/>
                <w:sz w:val="20"/>
                <w:szCs w:val="20"/>
              </w:rPr>
              <w:t>Specijalizacija iz hitne medicine traje 63 mjeseca.</w:t>
            </w:r>
          </w:p>
          <w:p w14:paraId="0D6AF5AF" w14:textId="77777777" w:rsidR="006E02AC" w:rsidRPr="009E0336" w:rsidRDefault="006E02AC" w:rsidP="00C86136">
            <w:pPr>
              <w:widowControl/>
              <w:suppressAutoHyphens w:val="0"/>
              <w:autoSpaceDN/>
              <w:spacing w:after="0" w:line="240" w:lineRule="auto"/>
              <w:jc w:val="both"/>
              <w:rPr>
                <w:rFonts w:ascii="Times New Roman" w:hAnsi="Times New Roman" w:cs="Times New Roman"/>
                <w:bCs/>
                <w:sz w:val="20"/>
                <w:szCs w:val="20"/>
              </w:rPr>
            </w:pPr>
            <w:r w:rsidRPr="009E0336">
              <w:rPr>
                <w:rFonts w:ascii="Times New Roman" w:hAnsi="Times New Roman" w:cs="Times New Roman"/>
                <w:bCs/>
                <w:sz w:val="20"/>
                <w:szCs w:val="20"/>
              </w:rPr>
              <w:t xml:space="preserve">Ova aktivnost, koja obuhvaća 0,2 % ukupnog plana za 2025.g. sastoji se od rashoda za zaposlene i materijalnih rashoda koji se financiraju u cijelosti iz </w:t>
            </w:r>
            <w:r w:rsidRPr="009E0336">
              <w:rPr>
                <w:rFonts w:ascii="Times New Roman" w:hAnsi="Times New Roman" w:cs="Times New Roman"/>
                <w:sz w:val="20"/>
                <w:szCs w:val="20"/>
              </w:rPr>
              <w:t>Nacionalnog plana oporavka i otpornosti (izvor pomoći EU)</w:t>
            </w:r>
            <w:r w:rsidRPr="009E0336">
              <w:rPr>
                <w:rFonts w:ascii="Times New Roman" w:hAnsi="Times New Roman" w:cs="Times New Roman"/>
                <w:bCs/>
                <w:sz w:val="20"/>
                <w:szCs w:val="20"/>
              </w:rPr>
              <w:t xml:space="preserve"> u iznosu od 70.000,00 € u 2025.g., u iznosu od 73.000,00 € u 2026.g. i u iznosu od 70.000,00 € u 2027.g.</w:t>
            </w:r>
          </w:p>
        </w:tc>
      </w:tr>
      <w:tr w:rsidR="006E02AC" w:rsidRPr="009E0336" w14:paraId="2EAE75AC" w14:textId="77777777" w:rsidTr="006E02AC">
        <w:trPr>
          <w:trHeight w:val="257"/>
        </w:trPr>
        <w:tc>
          <w:tcPr>
            <w:tcW w:w="1696" w:type="dxa"/>
            <w:shd w:val="clear" w:color="auto" w:fill="D9D9D9"/>
          </w:tcPr>
          <w:p w14:paraId="0D8C343F"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b/>
                <w:bCs/>
                <w:color w:val="000000"/>
                <w:kern w:val="0"/>
                <w:sz w:val="20"/>
                <w:szCs w:val="20"/>
                <w:lang w:eastAsia="hr-HR"/>
              </w:rPr>
            </w:pPr>
            <w:r w:rsidRPr="009E0336">
              <w:rPr>
                <w:rFonts w:ascii="Times New Roman" w:eastAsia="Times New Roman" w:hAnsi="Times New Roman" w:cs="Times New Roman"/>
                <w:b/>
                <w:bCs/>
                <w:color w:val="000000"/>
                <w:kern w:val="0"/>
                <w:sz w:val="20"/>
                <w:szCs w:val="20"/>
                <w:lang w:eastAsia="hr-HR"/>
              </w:rPr>
              <w:t>Obrazloženje izračuna financijskih sredstava</w:t>
            </w:r>
          </w:p>
        </w:tc>
        <w:tc>
          <w:tcPr>
            <w:tcW w:w="7706" w:type="dxa"/>
            <w:gridSpan w:val="2"/>
            <w:shd w:val="clear" w:color="auto" w:fill="auto"/>
          </w:tcPr>
          <w:p w14:paraId="56BD13D3" w14:textId="77777777" w:rsidR="006E02AC" w:rsidRPr="009E0336" w:rsidRDefault="006E02AC" w:rsidP="00C86136">
            <w:pPr>
              <w:widowControl/>
              <w:suppressAutoHyphens w:val="0"/>
              <w:autoSpaceDN/>
              <w:spacing w:after="0" w:line="240" w:lineRule="auto"/>
              <w:jc w:val="both"/>
              <w:rPr>
                <w:rFonts w:ascii="Times New Roman" w:eastAsia="Times New Roman" w:hAnsi="Times New Roman" w:cs="Times New Roman"/>
                <w:bCs/>
                <w:color w:val="000000"/>
                <w:kern w:val="0"/>
                <w:sz w:val="20"/>
                <w:szCs w:val="20"/>
                <w:lang w:eastAsia="hr-HR"/>
              </w:rPr>
            </w:pPr>
            <w:r w:rsidRPr="009E0336">
              <w:rPr>
                <w:rFonts w:ascii="Times New Roman" w:hAnsi="Times New Roman" w:cs="Times New Roman"/>
                <w:bCs/>
                <w:color w:val="000000"/>
                <w:sz w:val="20"/>
                <w:szCs w:val="20"/>
              </w:rPr>
              <w:t>U 2025.g. prihodima od pomoći iz Nacionalnog plana oporavka i otpornosti  financirati će se rashodi za plaće dva doktora medicine u iznosu od 66.000,00 € što čini 0,2 % ukupnih rashoda te drugi materijalni rashodi u iznosu od 4.000,00 € što čini 0,01 % ukupnih rashoda. U 2026.g. planira se isti iznos za rashode plaće, dok se materijalni rashodi planiraju u iznosu od  7.000,00 € budući će specijalizantice u navedenoj godini upisati poslijediplomski fakultet specijalističkog usavršavanja iz hitne medicine. U 2027.g. planiraju se rashodi na razini 2025.g. Tijekom promatranog razdoblja planiraju se u istom iznosu uravnoteženo prihodi i rashodi.</w:t>
            </w:r>
          </w:p>
        </w:tc>
      </w:tr>
      <w:tr w:rsidR="006E02AC" w:rsidRPr="009E0336" w14:paraId="6F432997" w14:textId="77777777" w:rsidTr="00C86136">
        <w:trPr>
          <w:trHeight w:val="257"/>
        </w:trPr>
        <w:tc>
          <w:tcPr>
            <w:tcW w:w="0" w:type="auto"/>
            <w:gridSpan w:val="3"/>
            <w:shd w:val="clear" w:color="auto"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1878"/>
              <w:gridCol w:w="1532"/>
              <w:gridCol w:w="1495"/>
              <w:gridCol w:w="1450"/>
              <w:gridCol w:w="1469"/>
            </w:tblGrid>
            <w:tr w:rsidR="006E02AC" w:rsidRPr="009E0336" w14:paraId="3EC2FD8D" w14:textId="77777777" w:rsidTr="00C86136">
              <w:trPr>
                <w:trHeight w:val="219"/>
              </w:trPr>
              <w:tc>
                <w:tcPr>
                  <w:tcW w:w="0" w:type="auto"/>
                  <w:shd w:val="clear" w:color="auto" w:fill="F2F2F2"/>
                </w:tcPr>
                <w:p w14:paraId="75E51029" w14:textId="77777777" w:rsidR="006E02AC" w:rsidRPr="009E0336" w:rsidRDefault="006E02AC" w:rsidP="00C86136">
                  <w:pPr>
                    <w:widowControl/>
                    <w:suppressAutoHyphens w:val="0"/>
                    <w:autoSpaceDN/>
                    <w:spacing w:after="0" w:line="240" w:lineRule="auto"/>
                    <w:jc w:val="center"/>
                    <w:rPr>
                      <w:rFonts w:ascii="Times New Roman" w:eastAsia="Times New Roman" w:hAnsi="Times New Roman" w:cs="Times New Roman"/>
                      <w:b/>
                      <w:bCs/>
                      <w:color w:val="000000"/>
                      <w:kern w:val="0"/>
                      <w:sz w:val="20"/>
                      <w:szCs w:val="20"/>
                      <w:lang w:eastAsia="hr-HR"/>
                    </w:rPr>
                  </w:pPr>
                  <w:r w:rsidRPr="009E0336">
                    <w:rPr>
                      <w:rFonts w:ascii="Times New Roman" w:hAnsi="Times New Roman" w:cs="Times New Roman"/>
                      <w:b/>
                      <w:bCs/>
                      <w:color w:val="000000"/>
                      <w:sz w:val="20"/>
                      <w:szCs w:val="20"/>
                    </w:rPr>
                    <w:t>Izvršeno 2023.</w:t>
                  </w:r>
                </w:p>
              </w:tc>
              <w:tc>
                <w:tcPr>
                  <w:tcW w:w="0" w:type="auto"/>
                  <w:shd w:val="clear" w:color="auto" w:fill="F2F2F2"/>
                </w:tcPr>
                <w:p w14:paraId="6FA9FC70" w14:textId="77777777" w:rsidR="006E02AC" w:rsidRPr="009E0336" w:rsidRDefault="006E02AC" w:rsidP="00C86136">
                  <w:pPr>
                    <w:widowControl/>
                    <w:suppressAutoHyphens w:val="0"/>
                    <w:autoSpaceDN/>
                    <w:spacing w:after="0" w:line="240" w:lineRule="auto"/>
                    <w:jc w:val="center"/>
                    <w:rPr>
                      <w:rFonts w:ascii="Times New Roman" w:eastAsia="Times New Roman" w:hAnsi="Times New Roman" w:cs="Times New Roman"/>
                      <w:b/>
                      <w:bCs/>
                      <w:color w:val="000000"/>
                      <w:kern w:val="0"/>
                      <w:sz w:val="20"/>
                      <w:szCs w:val="20"/>
                      <w:lang w:eastAsia="hr-HR"/>
                    </w:rPr>
                  </w:pPr>
                  <w:r w:rsidRPr="009E0336">
                    <w:rPr>
                      <w:rFonts w:ascii="Times New Roman" w:hAnsi="Times New Roman" w:cs="Times New Roman"/>
                      <w:b/>
                      <w:bCs/>
                      <w:color w:val="000000"/>
                      <w:sz w:val="20"/>
                      <w:szCs w:val="20"/>
                    </w:rPr>
                    <w:t>Financijski plan 2024.</w:t>
                  </w:r>
                </w:p>
              </w:tc>
              <w:tc>
                <w:tcPr>
                  <w:tcW w:w="0" w:type="auto"/>
                  <w:shd w:val="clear" w:color="auto" w:fill="F2F2F2"/>
                </w:tcPr>
                <w:p w14:paraId="67464527" w14:textId="77777777" w:rsidR="006E02AC" w:rsidRPr="009E0336" w:rsidRDefault="006E02AC" w:rsidP="00C86136">
                  <w:pPr>
                    <w:widowControl/>
                    <w:suppressAutoHyphens w:val="0"/>
                    <w:autoSpaceDN/>
                    <w:spacing w:after="0" w:line="240" w:lineRule="auto"/>
                    <w:jc w:val="center"/>
                    <w:rPr>
                      <w:rFonts w:ascii="Times New Roman" w:eastAsia="Times New Roman" w:hAnsi="Times New Roman" w:cs="Times New Roman"/>
                      <w:b/>
                      <w:bCs/>
                      <w:color w:val="000000"/>
                      <w:kern w:val="0"/>
                      <w:sz w:val="20"/>
                      <w:szCs w:val="20"/>
                      <w:lang w:eastAsia="hr-HR"/>
                    </w:rPr>
                  </w:pPr>
                  <w:r w:rsidRPr="009E0336">
                    <w:rPr>
                      <w:rFonts w:ascii="Times New Roman" w:hAnsi="Times New Roman" w:cs="Times New Roman"/>
                      <w:b/>
                      <w:bCs/>
                      <w:color w:val="000000"/>
                      <w:sz w:val="20"/>
                      <w:szCs w:val="20"/>
                    </w:rPr>
                    <w:t>I. Rebalans 2024.</w:t>
                  </w:r>
                </w:p>
              </w:tc>
              <w:tc>
                <w:tcPr>
                  <w:tcW w:w="1495" w:type="dxa"/>
                  <w:shd w:val="clear" w:color="auto" w:fill="F2F2F2"/>
                </w:tcPr>
                <w:p w14:paraId="0DD7DBBD" w14:textId="77777777" w:rsidR="006E02AC" w:rsidRPr="009E0336" w:rsidRDefault="006E02AC" w:rsidP="00C86136">
                  <w:pPr>
                    <w:widowControl/>
                    <w:suppressAutoHyphens w:val="0"/>
                    <w:autoSpaceDN/>
                    <w:spacing w:after="0" w:line="240" w:lineRule="auto"/>
                    <w:jc w:val="center"/>
                    <w:rPr>
                      <w:rFonts w:ascii="Times New Roman" w:eastAsia="Times New Roman" w:hAnsi="Times New Roman" w:cs="Times New Roman"/>
                      <w:b/>
                      <w:bCs/>
                      <w:color w:val="000000"/>
                      <w:kern w:val="0"/>
                      <w:sz w:val="20"/>
                      <w:szCs w:val="20"/>
                      <w:lang w:eastAsia="hr-HR"/>
                    </w:rPr>
                  </w:pPr>
                  <w:r w:rsidRPr="009E0336">
                    <w:rPr>
                      <w:rFonts w:ascii="Times New Roman" w:hAnsi="Times New Roman" w:cs="Times New Roman"/>
                      <w:b/>
                      <w:bCs/>
                      <w:color w:val="000000"/>
                      <w:sz w:val="20"/>
                      <w:szCs w:val="20"/>
                    </w:rPr>
                    <w:t>Plan 2025.</w:t>
                  </w:r>
                </w:p>
              </w:tc>
              <w:tc>
                <w:tcPr>
                  <w:tcW w:w="1450" w:type="dxa"/>
                  <w:shd w:val="clear" w:color="auto" w:fill="F2F2F2"/>
                </w:tcPr>
                <w:p w14:paraId="2D158AB9" w14:textId="77777777" w:rsidR="006E02AC" w:rsidRPr="009E0336" w:rsidRDefault="006E02AC" w:rsidP="00C86136">
                  <w:pPr>
                    <w:widowControl/>
                    <w:suppressAutoHyphens w:val="0"/>
                    <w:autoSpaceDN/>
                    <w:spacing w:after="0" w:line="240" w:lineRule="auto"/>
                    <w:jc w:val="center"/>
                    <w:rPr>
                      <w:rFonts w:ascii="Times New Roman" w:eastAsia="Times New Roman" w:hAnsi="Times New Roman" w:cs="Times New Roman"/>
                      <w:b/>
                      <w:bCs/>
                      <w:color w:val="000000"/>
                      <w:kern w:val="0"/>
                      <w:sz w:val="20"/>
                      <w:szCs w:val="20"/>
                      <w:lang w:eastAsia="hr-HR"/>
                    </w:rPr>
                  </w:pPr>
                  <w:r w:rsidRPr="009E0336">
                    <w:rPr>
                      <w:rFonts w:ascii="Times New Roman" w:hAnsi="Times New Roman" w:cs="Times New Roman"/>
                      <w:b/>
                      <w:bCs/>
                      <w:color w:val="000000"/>
                      <w:sz w:val="20"/>
                      <w:szCs w:val="20"/>
                    </w:rPr>
                    <w:t>Projekcija 2026.</w:t>
                  </w:r>
                </w:p>
              </w:tc>
              <w:tc>
                <w:tcPr>
                  <w:tcW w:w="0" w:type="auto"/>
                  <w:shd w:val="clear" w:color="auto" w:fill="F2F2F2"/>
                </w:tcPr>
                <w:p w14:paraId="2E77A35D" w14:textId="77777777" w:rsidR="006E02AC" w:rsidRPr="009E0336" w:rsidRDefault="006E02AC" w:rsidP="00C86136">
                  <w:pPr>
                    <w:widowControl/>
                    <w:suppressAutoHyphens w:val="0"/>
                    <w:autoSpaceDN/>
                    <w:spacing w:after="0" w:line="240" w:lineRule="auto"/>
                    <w:jc w:val="center"/>
                    <w:rPr>
                      <w:rFonts w:ascii="Times New Roman" w:eastAsia="Times New Roman" w:hAnsi="Times New Roman" w:cs="Times New Roman"/>
                      <w:b/>
                      <w:bCs/>
                      <w:color w:val="000000"/>
                      <w:kern w:val="0"/>
                      <w:sz w:val="20"/>
                      <w:szCs w:val="20"/>
                      <w:lang w:eastAsia="hr-HR"/>
                    </w:rPr>
                  </w:pPr>
                  <w:r w:rsidRPr="009E0336">
                    <w:rPr>
                      <w:rFonts w:ascii="Times New Roman" w:hAnsi="Times New Roman" w:cs="Times New Roman"/>
                      <w:b/>
                      <w:bCs/>
                      <w:color w:val="000000"/>
                      <w:sz w:val="20"/>
                      <w:szCs w:val="20"/>
                    </w:rPr>
                    <w:t>Projekcija 2027.</w:t>
                  </w:r>
                </w:p>
              </w:tc>
            </w:tr>
            <w:tr w:rsidR="006E02AC" w:rsidRPr="009E0336" w14:paraId="560EE51E" w14:textId="77777777" w:rsidTr="00C86136">
              <w:trPr>
                <w:trHeight w:val="219"/>
              </w:trPr>
              <w:tc>
                <w:tcPr>
                  <w:tcW w:w="0" w:type="auto"/>
                  <w:tcBorders>
                    <w:top w:val="single" w:sz="4" w:space="0" w:color="auto"/>
                    <w:left w:val="single" w:sz="4" w:space="0" w:color="auto"/>
                    <w:bottom w:val="single" w:sz="4" w:space="0" w:color="auto"/>
                    <w:right w:val="single" w:sz="4" w:space="0" w:color="auto"/>
                  </w:tcBorders>
                  <w:shd w:val="clear" w:color="auto" w:fill="auto"/>
                </w:tcPr>
                <w:p w14:paraId="5985F119" w14:textId="77777777" w:rsidR="006E02AC" w:rsidRPr="009E0336" w:rsidRDefault="006E02AC" w:rsidP="00C86136">
                  <w:pPr>
                    <w:widowControl/>
                    <w:suppressAutoHyphens w:val="0"/>
                    <w:autoSpaceDN/>
                    <w:spacing w:after="0" w:line="240" w:lineRule="auto"/>
                    <w:jc w:val="right"/>
                    <w:rPr>
                      <w:rFonts w:ascii="Times New Roman" w:eastAsia="Times New Roman" w:hAnsi="Times New Roman" w:cs="Times New Roman"/>
                      <w:b/>
                      <w:bCs/>
                      <w:color w:val="000000"/>
                      <w:kern w:val="0"/>
                      <w:sz w:val="20"/>
                      <w:szCs w:val="20"/>
                      <w:lang w:eastAsia="hr-HR"/>
                    </w:rPr>
                  </w:pPr>
                  <w:r w:rsidRPr="009E0336">
                    <w:rPr>
                      <w:rFonts w:ascii="Times New Roman" w:eastAsia="Times New Roman" w:hAnsi="Times New Roman" w:cs="Times New Roman"/>
                      <w:b/>
                      <w:bCs/>
                      <w:color w:val="000000"/>
                      <w:kern w:val="0"/>
                      <w:sz w:val="20"/>
                      <w:szCs w:val="20"/>
                      <w:lang w:eastAsia="hr-HR"/>
                    </w:rPr>
                    <w:t>30.085,81 €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F34FC" w14:textId="77777777" w:rsidR="006E02AC" w:rsidRPr="009E0336" w:rsidRDefault="006E02AC" w:rsidP="00C86136">
                  <w:pPr>
                    <w:widowControl/>
                    <w:suppressAutoHyphens w:val="0"/>
                    <w:autoSpaceDN/>
                    <w:spacing w:after="0" w:line="240" w:lineRule="auto"/>
                    <w:jc w:val="right"/>
                    <w:rPr>
                      <w:rFonts w:ascii="Times New Roman" w:eastAsia="Times New Roman" w:hAnsi="Times New Roman" w:cs="Times New Roman"/>
                      <w:b/>
                      <w:bCs/>
                      <w:color w:val="000000"/>
                      <w:kern w:val="0"/>
                      <w:sz w:val="20"/>
                      <w:szCs w:val="20"/>
                      <w:lang w:eastAsia="hr-HR"/>
                    </w:rPr>
                  </w:pPr>
                  <w:r w:rsidRPr="009E0336">
                    <w:rPr>
                      <w:rFonts w:ascii="Times New Roman" w:eastAsia="Times New Roman" w:hAnsi="Times New Roman" w:cs="Times New Roman"/>
                      <w:b/>
                      <w:bCs/>
                      <w:color w:val="000000"/>
                      <w:kern w:val="0"/>
                      <w:sz w:val="20"/>
                      <w:szCs w:val="20"/>
                      <w:lang w:eastAsia="hr-HR"/>
                    </w:rPr>
                    <w:t>317.000,00 €</w:t>
                  </w:r>
                </w:p>
              </w:tc>
              <w:tc>
                <w:tcPr>
                  <w:tcW w:w="0" w:type="auto"/>
                  <w:tcBorders>
                    <w:top w:val="single" w:sz="4" w:space="0" w:color="auto"/>
                    <w:left w:val="single" w:sz="4" w:space="0" w:color="auto"/>
                    <w:bottom w:val="single" w:sz="4" w:space="0" w:color="auto"/>
                    <w:right w:val="single" w:sz="4" w:space="0" w:color="auto"/>
                  </w:tcBorders>
                </w:tcPr>
                <w:p w14:paraId="65206669" w14:textId="77777777" w:rsidR="006E02AC" w:rsidRPr="009E0336" w:rsidRDefault="006E02AC" w:rsidP="00C86136">
                  <w:pPr>
                    <w:widowControl/>
                    <w:suppressAutoHyphens w:val="0"/>
                    <w:autoSpaceDN/>
                    <w:spacing w:after="0" w:line="240" w:lineRule="auto"/>
                    <w:jc w:val="right"/>
                    <w:rPr>
                      <w:rFonts w:ascii="Times New Roman" w:eastAsia="Times New Roman" w:hAnsi="Times New Roman" w:cs="Times New Roman"/>
                      <w:b/>
                      <w:bCs/>
                      <w:color w:val="000000"/>
                      <w:kern w:val="0"/>
                      <w:sz w:val="20"/>
                      <w:szCs w:val="20"/>
                      <w:lang w:eastAsia="hr-HR"/>
                    </w:rPr>
                  </w:pPr>
                  <w:r w:rsidRPr="009E0336">
                    <w:rPr>
                      <w:rFonts w:ascii="Times New Roman" w:eastAsia="Times New Roman" w:hAnsi="Times New Roman" w:cs="Times New Roman"/>
                      <w:b/>
                      <w:bCs/>
                      <w:color w:val="000000"/>
                      <w:kern w:val="0"/>
                      <w:sz w:val="20"/>
                      <w:szCs w:val="20"/>
                      <w:lang w:eastAsia="hr-HR"/>
                    </w:rPr>
                    <w:t>80.000,00 €</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2705B333" w14:textId="77777777" w:rsidR="006E02AC" w:rsidRPr="009E0336" w:rsidRDefault="006E02AC" w:rsidP="00C86136">
                  <w:pPr>
                    <w:widowControl/>
                    <w:suppressAutoHyphens w:val="0"/>
                    <w:autoSpaceDN/>
                    <w:spacing w:after="0" w:line="240" w:lineRule="auto"/>
                    <w:jc w:val="right"/>
                    <w:rPr>
                      <w:rFonts w:ascii="Times New Roman" w:eastAsia="Times New Roman" w:hAnsi="Times New Roman" w:cs="Times New Roman"/>
                      <w:b/>
                      <w:bCs/>
                      <w:color w:val="000000"/>
                      <w:kern w:val="0"/>
                      <w:sz w:val="20"/>
                      <w:szCs w:val="20"/>
                      <w:lang w:eastAsia="hr-HR"/>
                    </w:rPr>
                  </w:pPr>
                  <w:r w:rsidRPr="009E0336">
                    <w:rPr>
                      <w:rFonts w:ascii="Times New Roman" w:eastAsia="Times New Roman" w:hAnsi="Times New Roman" w:cs="Times New Roman"/>
                      <w:b/>
                      <w:bCs/>
                      <w:color w:val="000000"/>
                      <w:kern w:val="0"/>
                      <w:sz w:val="20"/>
                      <w:szCs w:val="20"/>
                      <w:lang w:eastAsia="hr-HR"/>
                    </w:rPr>
                    <w:t>70.000,00 €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B868F9" w14:textId="77777777" w:rsidR="006E02AC" w:rsidRPr="009E0336" w:rsidRDefault="006E02AC" w:rsidP="00C86136">
                  <w:pPr>
                    <w:widowControl/>
                    <w:suppressAutoHyphens w:val="0"/>
                    <w:autoSpaceDN/>
                    <w:spacing w:after="0" w:line="240" w:lineRule="auto"/>
                    <w:jc w:val="right"/>
                    <w:rPr>
                      <w:rFonts w:ascii="Times New Roman" w:eastAsia="Times New Roman" w:hAnsi="Times New Roman" w:cs="Times New Roman"/>
                      <w:b/>
                      <w:bCs/>
                      <w:color w:val="000000"/>
                      <w:kern w:val="0"/>
                      <w:sz w:val="20"/>
                      <w:szCs w:val="20"/>
                      <w:lang w:eastAsia="hr-HR"/>
                    </w:rPr>
                  </w:pPr>
                  <w:r w:rsidRPr="009E0336">
                    <w:rPr>
                      <w:rFonts w:ascii="Times New Roman" w:eastAsia="Times New Roman" w:hAnsi="Times New Roman" w:cs="Times New Roman"/>
                      <w:b/>
                      <w:bCs/>
                      <w:color w:val="000000"/>
                      <w:kern w:val="0"/>
                      <w:sz w:val="20"/>
                      <w:szCs w:val="20"/>
                      <w:lang w:eastAsia="hr-HR"/>
                    </w:rPr>
                    <w:t>73.000,00 €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9FC9D5" w14:textId="77777777" w:rsidR="006E02AC" w:rsidRPr="009E0336" w:rsidRDefault="006E02AC" w:rsidP="00C86136">
                  <w:pPr>
                    <w:widowControl/>
                    <w:suppressAutoHyphens w:val="0"/>
                    <w:autoSpaceDN/>
                    <w:spacing w:after="0" w:line="240" w:lineRule="auto"/>
                    <w:jc w:val="right"/>
                    <w:rPr>
                      <w:rFonts w:ascii="Times New Roman" w:eastAsia="Times New Roman" w:hAnsi="Times New Roman" w:cs="Times New Roman"/>
                      <w:b/>
                      <w:bCs/>
                      <w:kern w:val="0"/>
                      <w:sz w:val="20"/>
                      <w:szCs w:val="20"/>
                      <w:lang w:eastAsia="hr-HR"/>
                    </w:rPr>
                  </w:pPr>
                  <w:r w:rsidRPr="009E0336">
                    <w:rPr>
                      <w:rFonts w:ascii="Times New Roman" w:eastAsia="Times New Roman" w:hAnsi="Times New Roman" w:cs="Times New Roman"/>
                      <w:b/>
                      <w:bCs/>
                      <w:color w:val="000000"/>
                      <w:kern w:val="0"/>
                      <w:sz w:val="20"/>
                      <w:szCs w:val="20"/>
                      <w:lang w:eastAsia="hr-HR"/>
                    </w:rPr>
                    <w:t>70.000,00 €</w:t>
                  </w:r>
                </w:p>
              </w:tc>
            </w:tr>
          </w:tbl>
          <w:p w14:paraId="14788997"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bCs/>
                <w:color w:val="000000"/>
                <w:kern w:val="0"/>
                <w:sz w:val="20"/>
                <w:szCs w:val="20"/>
                <w:lang w:eastAsia="hr-HR"/>
              </w:rPr>
            </w:pPr>
          </w:p>
        </w:tc>
      </w:tr>
      <w:tr w:rsidR="006E02AC" w:rsidRPr="009E0336" w14:paraId="1708FE36" w14:textId="77777777" w:rsidTr="006E02AC">
        <w:trPr>
          <w:trHeight w:val="257"/>
        </w:trPr>
        <w:tc>
          <w:tcPr>
            <w:tcW w:w="1696" w:type="dxa"/>
            <w:shd w:val="clear" w:color="auto" w:fill="D9D9D9"/>
          </w:tcPr>
          <w:p w14:paraId="7E9F677C"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b/>
                <w:bCs/>
                <w:color w:val="000000"/>
                <w:kern w:val="0"/>
                <w:sz w:val="20"/>
                <w:szCs w:val="20"/>
                <w:lang w:eastAsia="hr-HR"/>
              </w:rPr>
            </w:pPr>
            <w:r w:rsidRPr="009E0336">
              <w:rPr>
                <w:rFonts w:ascii="Times New Roman" w:eastAsia="Times New Roman" w:hAnsi="Times New Roman" w:cs="Times New Roman"/>
                <w:b/>
                <w:color w:val="000000"/>
                <w:kern w:val="0"/>
                <w:sz w:val="20"/>
                <w:szCs w:val="20"/>
                <w:lang w:eastAsia="hr-HR"/>
              </w:rPr>
              <w:t>Obrazloženja odstupanja od projekcija za 2025. i 2026. usvojenih u prošlogodišnjem Proračunu</w:t>
            </w:r>
          </w:p>
        </w:tc>
        <w:tc>
          <w:tcPr>
            <w:tcW w:w="7706" w:type="dxa"/>
            <w:gridSpan w:val="2"/>
            <w:shd w:val="clear" w:color="auto" w:fill="auto"/>
          </w:tcPr>
          <w:p w14:paraId="4451F3F6" w14:textId="77777777" w:rsidR="006E02AC" w:rsidRPr="009E0336" w:rsidRDefault="006E02AC" w:rsidP="00C86136">
            <w:pPr>
              <w:widowControl/>
              <w:suppressAutoHyphens w:val="0"/>
              <w:autoSpaceDN/>
              <w:spacing w:after="0" w:line="240" w:lineRule="auto"/>
              <w:jc w:val="both"/>
              <w:rPr>
                <w:rFonts w:ascii="Times New Roman" w:eastAsia="Times New Roman" w:hAnsi="Times New Roman" w:cs="Times New Roman"/>
                <w:bCs/>
                <w:color w:val="000000"/>
                <w:kern w:val="0"/>
                <w:sz w:val="20"/>
                <w:szCs w:val="20"/>
                <w:lang w:eastAsia="hr-HR"/>
              </w:rPr>
            </w:pPr>
            <w:r w:rsidRPr="009E0336">
              <w:rPr>
                <w:rFonts w:ascii="Times New Roman" w:hAnsi="Times New Roman" w:cs="Times New Roman"/>
                <w:sz w:val="20"/>
                <w:szCs w:val="20"/>
                <w:lang w:eastAsia="ar-SA"/>
              </w:rPr>
              <w:t>Planirani iznos aktivnosti za 2025.g. je za 77,9 % manji od projekcije u prošlogodišnjem planu zbog toga što je projekcijom prošlogodišnjeg plana očekivano da će sedam doktora medicine uputiti na specijalizaciju iz hitne medicine u okviru programa Nacionalnog programa oporavka i otpornosti. Međutim, u 2023.g. su dva doktora medicine upućena na specijalizaciju iz hitne medicine, dok na ponovljenom natječaju za prijavu kandidata na specijalizaciju iz hitne medicine u 2024.g. nije bilo zainteresiranih kandidata.</w:t>
            </w:r>
          </w:p>
        </w:tc>
      </w:tr>
    </w:tbl>
    <w:p w14:paraId="4F0D08ED" w14:textId="77777777" w:rsidR="006E02AC" w:rsidRPr="009E0336" w:rsidRDefault="006E02AC" w:rsidP="006E02AC">
      <w:pPr>
        <w:pStyle w:val="Standard"/>
        <w:rPr>
          <w:sz w:val="20"/>
          <w:szCs w:val="20"/>
        </w:rPr>
      </w:pPr>
    </w:p>
    <w:p w14:paraId="421C457D" w14:textId="77777777" w:rsidR="006E02AC" w:rsidRPr="009E0336" w:rsidRDefault="006E02AC" w:rsidP="006E02AC">
      <w:pPr>
        <w:pStyle w:val="Standard"/>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2433"/>
        <w:gridCol w:w="1354"/>
        <w:gridCol w:w="738"/>
        <w:gridCol w:w="855"/>
        <w:gridCol w:w="834"/>
        <w:gridCol w:w="834"/>
        <w:gridCol w:w="834"/>
      </w:tblGrid>
      <w:tr w:rsidR="006E02AC" w:rsidRPr="009E0336" w14:paraId="4D9C3003" w14:textId="77777777" w:rsidTr="00C86136">
        <w:trPr>
          <w:trHeight w:val="651"/>
        </w:trPr>
        <w:tc>
          <w:tcPr>
            <w:tcW w:w="0" w:type="auto"/>
            <w:shd w:val="clear" w:color="auto" w:fill="D9D9D9"/>
          </w:tcPr>
          <w:p w14:paraId="51A29AA2"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b/>
                <w:kern w:val="0"/>
                <w:sz w:val="20"/>
                <w:szCs w:val="20"/>
                <w:lang w:eastAsia="hr-HR"/>
              </w:rPr>
            </w:pPr>
            <w:r w:rsidRPr="009E0336">
              <w:rPr>
                <w:rFonts w:ascii="Times New Roman" w:eastAsia="Times New Roman" w:hAnsi="Times New Roman" w:cs="Times New Roman"/>
                <w:b/>
                <w:kern w:val="0"/>
                <w:sz w:val="20"/>
                <w:szCs w:val="20"/>
                <w:lang w:eastAsia="hr-HR"/>
              </w:rPr>
              <w:t>Pokazatelj rezultata</w:t>
            </w:r>
          </w:p>
        </w:tc>
        <w:tc>
          <w:tcPr>
            <w:tcW w:w="0" w:type="auto"/>
            <w:shd w:val="clear" w:color="auto" w:fill="D9D9D9"/>
          </w:tcPr>
          <w:p w14:paraId="66132AF7" w14:textId="77777777" w:rsidR="006E02AC" w:rsidRPr="009E0336" w:rsidRDefault="006E02AC" w:rsidP="00C86136">
            <w:pPr>
              <w:widowControl/>
              <w:suppressAutoHyphens w:val="0"/>
              <w:autoSpaceDN/>
              <w:spacing w:after="0" w:line="240" w:lineRule="auto"/>
              <w:jc w:val="center"/>
              <w:rPr>
                <w:rFonts w:ascii="Times New Roman" w:eastAsia="Times New Roman" w:hAnsi="Times New Roman" w:cs="Times New Roman"/>
                <w:b/>
                <w:kern w:val="0"/>
                <w:sz w:val="20"/>
                <w:szCs w:val="20"/>
                <w:lang w:eastAsia="hr-HR"/>
              </w:rPr>
            </w:pPr>
            <w:r w:rsidRPr="009E0336">
              <w:rPr>
                <w:rFonts w:ascii="Times New Roman" w:eastAsia="Times New Roman" w:hAnsi="Times New Roman" w:cs="Times New Roman"/>
                <w:b/>
                <w:kern w:val="0"/>
                <w:sz w:val="20"/>
                <w:szCs w:val="20"/>
                <w:lang w:eastAsia="hr-HR"/>
              </w:rPr>
              <w:t>Definicija</w:t>
            </w:r>
          </w:p>
        </w:tc>
        <w:tc>
          <w:tcPr>
            <w:tcW w:w="0" w:type="auto"/>
            <w:shd w:val="clear" w:color="auto" w:fill="D9D9D9"/>
          </w:tcPr>
          <w:p w14:paraId="08643813" w14:textId="77777777" w:rsidR="006E02AC" w:rsidRPr="009E0336" w:rsidRDefault="006E02AC" w:rsidP="00C86136">
            <w:pPr>
              <w:widowControl/>
              <w:suppressAutoHyphens w:val="0"/>
              <w:autoSpaceDN/>
              <w:spacing w:after="0" w:line="240" w:lineRule="auto"/>
              <w:jc w:val="center"/>
              <w:rPr>
                <w:rFonts w:ascii="Times New Roman" w:eastAsia="Times New Roman" w:hAnsi="Times New Roman" w:cs="Times New Roman"/>
                <w:b/>
                <w:kern w:val="0"/>
                <w:sz w:val="20"/>
                <w:szCs w:val="20"/>
                <w:lang w:eastAsia="hr-HR"/>
              </w:rPr>
            </w:pPr>
            <w:r w:rsidRPr="009E0336">
              <w:rPr>
                <w:rFonts w:ascii="Times New Roman" w:eastAsia="Times New Roman" w:hAnsi="Times New Roman" w:cs="Times New Roman"/>
                <w:b/>
                <w:kern w:val="0"/>
                <w:sz w:val="20"/>
                <w:szCs w:val="20"/>
                <w:lang w:eastAsia="hr-HR"/>
              </w:rPr>
              <w:t>Jedinica</w:t>
            </w:r>
          </w:p>
        </w:tc>
        <w:tc>
          <w:tcPr>
            <w:tcW w:w="738" w:type="dxa"/>
            <w:shd w:val="clear" w:color="auto" w:fill="D9D9D9"/>
          </w:tcPr>
          <w:p w14:paraId="07C7EB6D" w14:textId="77777777" w:rsidR="006E02AC" w:rsidRPr="009E0336" w:rsidRDefault="006E02AC" w:rsidP="00C86136">
            <w:pPr>
              <w:widowControl/>
              <w:suppressAutoHyphens w:val="0"/>
              <w:autoSpaceDN/>
              <w:spacing w:after="0" w:line="240" w:lineRule="auto"/>
              <w:jc w:val="center"/>
              <w:rPr>
                <w:rFonts w:ascii="Times New Roman" w:eastAsia="Times New Roman" w:hAnsi="Times New Roman" w:cs="Times New Roman"/>
                <w:b/>
                <w:kern w:val="0"/>
                <w:sz w:val="20"/>
                <w:szCs w:val="20"/>
                <w:lang w:eastAsia="hr-HR"/>
              </w:rPr>
            </w:pPr>
            <w:r w:rsidRPr="009E0336">
              <w:rPr>
                <w:rFonts w:ascii="Times New Roman" w:eastAsia="Times New Roman" w:hAnsi="Times New Roman" w:cs="Times New Roman"/>
                <w:b/>
                <w:kern w:val="0"/>
                <w:sz w:val="20"/>
                <w:szCs w:val="20"/>
                <w:lang w:eastAsia="hr-HR"/>
              </w:rPr>
              <w:t>Polazna vrijednost 2024.</w:t>
            </w:r>
          </w:p>
        </w:tc>
        <w:tc>
          <w:tcPr>
            <w:tcW w:w="855" w:type="dxa"/>
            <w:shd w:val="clear" w:color="auto" w:fill="D9D9D9"/>
          </w:tcPr>
          <w:p w14:paraId="1B9F62C2" w14:textId="77777777" w:rsidR="006E02AC" w:rsidRPr="009E0336" w:rsidRDefault="006E02AC" w:rsidP="00C86136">
            <w:pPr>
              <w:widowControl/>
              <w:suppressAutoHyphens w:val="0"/>
              <w:autoSpaceDN/>
              <w:spacing w:after="0" w:line="240" w:lineRule="auto"/>
              <w:jc w:val="center"/>
              <w:rPr>
                <w:rFonts w:ascii="Times New Roman" w:eastAsia="Times New Roman" w:hAnsi="Times New Roman" w:cs="Times New Roman"/>
                <w:b/>
                <w:kern w:val="0"/>
                <w:sz w:val="20"/>
                <w:szCs w:val="20"/>
                <w:lang w:eastAsia="hr-HR"/>
              </w:rPr>
            </w:pPr>
            <w:r w:rsidRPr="009E0336">
              <w:rPr>
                <w:rFonts w:ascii="Times New Roman" w:eastAsia="Times New Roman" w:hAnsi="Times New Roman" w:cs="Times New Roman"/>
                <w:b/>
                <w:kern w:val="0"/>
                <w:sz w:val="20"/>
                <w:szCs w:val="20"/>
                <w:lang w:eastAsia="hr-HR"/>
              </w:rPr>
              <w:t>Izvor podataka</w:t>
            </w:r>
          </w:p>
        </w:tc>
        <w:tc>
          <w:tcPr>
            <w:tcW w:w="0" w:type="auto"/>
            <w:shd w:val="clear" w:color="auto" w:fill="D9D9D9"/>
          </w:tcPr>
          <w:p w14:paraId="4C9C5BC2" w14:textId="77777777" w:rsidR="006E02AC" w:rsidRPr="009E0336" w:rsidRDefault="006E02AC" w:rsidP="00C86136">
            <w:pPr>
              <w:widowControl/>
              <w:suppressAutoHyphens w:val="0"/>
              <w:autoSpaceDN/>
              <w:spacing w:after="0" w:line="240" w:lineRule="auto"/>
              <w:jc w:val="center"/>
              <w:rPr>
                <w:rFonts w:ascii="Times New Roman" w:eastAsia="Times New Roman" w:hAnsi="Times New Roman" w:cs="Times New Roman"/>
                <w:b/>
                <w:kern w:val="0"/>
                <w:sz w:val="20"/>
                <w:szCs w:val="20"/>
                <w:lang w:eastAsia="hr-HR"/>
              </w:rPr>
            </w:pPr>
            <w:r w:rsidRPr="009E0336">
              <w:rPr>
                <w:rFonts w:ascii="Times New Roman" w:eastAsia="Times New Roman" w:hAnsi="Times New Roman" w:cs="Times New Roman"/>
                <w:b/>
                <w:kern w:val="0"/>
                <w:sz w:val="20"/>
                <w:szCs w:val="20"/>
                <w:lang w:eastAsia="hr-HR"/>
              </w:rPr>
              <w:t>Ciljana vrijednost 2025.</w:t>
            </w:r>
          </w:p>
        </w:tc>
        <w:tc>
          <w:tcPr>
            <w:tcW w:w="0" w:type="auto"/>
            <w:shd w:val="clear" w:color="auto" w:fill="D9D9D9"/>
          </w:tcPr>
          <w:p w14:paraId="2578EC8F" w14:textId="77777777" w:rsidR="006E02AC" w:rsidRPr="009E0336" w:rsidRDefault="006E02AC" w:rsidP="00C86136">
            <w:pPr>
              <w:widowControl/>
              <w:suppressAutoHyphens w:val="0"/>
              <w:autoSpaceDN/>
              <w:spacing w:after="0" w:line="240" w:lineRule="auto"/>
              <w:jc w:val="center"/>
              <w:rPr>
                <w:rFonts w:ascii="Times New Roman" w:eastAsia="Times New Roman" w:hAnsi="Times New Roman" w:cs="Times New Roman"/>
                <w:b/>
                <w:kern w:val="0"/>
                <w:sz w:val="20"/>
                <w:szCs w:val="20"/>
                <w:lang w:eastAsia="hr-HR"/>
              </w:rPr>
            </w:pPr>
            <w:r w:rsidRPr="009E0336">
              <w:rPr>
                <w:rFonts w:ascii="Times New Roman" w:eastAsia="Times New Roman" w:hAnsi="Times New Roman" w:cs="Times New Roman"/>
                <w:b/>
                <w:kern w:val="0"/>
                <w:sz w:val="20"/>
                <w:szCs w:val="20"/>
                <w:lang w:eastAsia="hr-HR"/>
              </w:rPr>
              <w:t>Ciljana vrijednost 2026.</w:t>
            </w:r>
          </w:p>
        </w:tc>
        <w:tc>
          <w:tcPr>
            <w:tcW w:w="0" w:type="auto"/>
            <w:shd w:val="clear" w:color="auto" w:fill="D9D9D9"/>
          </w:tcPr>
          <w:p w14:paraId="2B17DD94" w14:textId="77777777" w:rsidR="006E02AC" w:rsidRPr="009E0336" w:rsidRDefault="006E02AC" w:rsidP="00C86136">
            <w:pPr>
              <w:widowControl/>
              <w:suppressAutoHyphens w:val="0"/>
              <w:autoSpaceDN/>
              <w:spacing w:after="0" w:line="240" w:lineRule="auto"/>
              <w:jc w:val="center"/>
              <w:rPr>
                <w:rFonts w:ascii="Times New Roman" w:eastAsia="Times New Roman" w:hAnsi="Times New Roman" w:cs="Times New Roman"/>
                <w:b/>
                <w:kern w:val="0"/>
                <w:sz w:val="20"/>
                <w:szCs w:val="20"/>
                <w:lang w:eastAsia="hr-HR"/>
              </w:rPr>
            </w:pPr>
            <w:r w:rsidRPr="009E0336">
              <w:rPr>
                <w:rFonts w:ascii="Times New Roman" w:eastAsia="Times New Roman" w:hAnsi="Times New Roman" w:cs="Times New Roman"/>
                <w:b/>
                <w:kern w:val="0"/>
                <w:sz w:val="20"/>
                <w:szCs w:val="20"/>
                <w:lang w:eastAsia="hr-HR"/>
              </w:rPr>
              <w:t>Ciljana vrijednost 2027.</w:t>
            </w:r>
          </w:p>
        </w:tc>
      </w:tr>
      <w:tr w:rsidR="006E02AC" w:rsidRPr="009E0336" w14:paraId="50F1D559" w14:textId="77777777" w:rsidTr="00C86136">
        <w:trPr>
          <w:trHeight w:val="219"/>
        </w:trPr>
        <w:tc>
          <w:tcPr>
            <w:tcW w:w="0" w:type="auto"/>
            <w:tcBorders>
              <w:bottom w:val="single" w:sz="4" w:space="0" w:color="auto"/>
            </w:tcBorders>
            <w:shd w:val="clear" w:color="auto" w:fill="auto"/>
          </w:tcPr>
          <w:p w14:paraId="7BEAB43C"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kern w:val="0"/>
                <w:sz w:val="20"/>
                <w:szCs w:val="20"/>
                <w:lang w:eastAsia="hr-HR"/>
              </w:rPr>
            </w:pPr>
            <w:r w:rsidRPr="009E0336">
              <w:rPr>
                <w:rFonts w:ascii="Times New Roman" w:eastAsia="Times New Roman" w:hAnsi="Times New Roman" w:cs="Times New Roman"/>
                <w:kern w:val="0"/>
                <w:sz w:val="20"/>
                <w:szCs w:val="20"/>
                <w:lang w:eastAsia="hr-HR"/>
              </w:rPr>
              <w:t>Povećanje broja doktora specijalista hitne medicine financiranih iz Nacionalnog plana oporavka i otpornosti</w:t>
            </w:r>
          </w:p>
        </w:tc>
        <w:tc>
          <w:tcPr>
            <w:tcW w:w="0" w:type="auto"/>
            <w:tcBorders>
              <w:bottom w:val="single" w:sz="4" w:space="0" w:color="auto"/>
            </w:tcBorders>
            <w:shd w:val="clear" w:color="auto" w:fill="auto"/>
          </w:tcPr>
          <w:p w14:paraId="76115722"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kern w:val="0"/>
                <w:sz w:val="20"/>
                <w:szCs w:val="20"/>
                <w:lang w:eastAsia="hr-HR"/>
              </w:rPr>
            </w:pPr>
            <w:r w:rsidRPr="009E0336">
              <w:rPr>
                <w:rFonts w:ascii="Times New Roman" w:eastAsia="Times New Roman" w:hAnsi="Times New Roman" w:cs="Times New Roman"/>
                <w:kern w:val="0"/>
                <w:sz w:val="20"/>
                <w:szCs w:val="20"/>
                <w:lang w:eastAsia="hr-HR"/>
              </w:rPr>
              <w:t>Specijalizacijom doktora hitne medicine izravno se doprinosi ciljevima Nacionalnog plana oporavka i otpornosti, odnosno većem broju medicinskih stručnjaka koji će ojačati zdravstveni sustav u vrijeme krize</w:t>
            </w:r>
          </w:p>
        </w:tc>
        <w:tc>
          <w:tcPr>
            <w:tcW w:w="0" w:type="auto"/>
            <w:tcBorders>
              <w:bottom w:val="single" w:sz="4" w:space="0" w:color="auto"/>
            </w:tcBorders>
          </w:tcPr>
          <w:p w14:paraId="12489E94"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kern w:val="0"/>
                <w:sz w:val="20"/>
                <w:szCs w:val="20"/>
                <w:lang w:eastAsia="hr-HR"/>
              </w:rPr>
            </w:pPr>
            <w:r w:rsidRPr="009E0336">
              <w:rPr>
                <w:rFonts w:ascii="Times New Roman" w:eastAsia="Times New Roman" w:hAnsi="Times New Roman" w:cs="Times New Roman"/>
                <w:kern w:val="0"/>
                <w:sz w:val="20"/>
                <w:szCs w:val="20"/>
                <w:lang w:eastAsia="hr-HR"/>
              </w:rPr>
              <w:t>Broj specijalista hitne medicine financiranih iz Nacionalnog plana oporavka i otpornosti</w:t>
            </w:r>
          </w:p>
        </w:tc>
        <w:tc>
          <w:tcPr>
            <w:tcW w:w="738" w:type="dxa"/>
            <w:tcBorders>
              <w:bottom w:val="single" w:sz="4" w:space="0" w:color="auto"/>
            </w:tcBorders>
            <w:shd w:val="clear" w:color="auto" w:fill="auto"/>
          </w:tcPr>
          <w:p w14:paraId="06F8448C"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kern w:val="0"/>
                <w:sz w:val="20"/>
                <w:szCs w:val="20"/>
                <w:lang w:eastAsia="hr-HR"/>
              </w:rPr>
            </w:pPr>
            <w:r w:rsidRPr="009E0336">
              <w:rPr>
                <w:rFonts w:ascii="Times New Roman" w:eastAsia="Times New Roman" w:hAnsi="Times New Roman" w:cs="Times New Roman"/>
                <w:kern w:val="0"/>
                <w:sz w:val="20"/>
                <w:szCs w:val="20"/>
                <w:lang w:eastAsia="hr-HR"/>
              </w:rPr>
              <w:t xml:space="preserve">      0</w:t>
            </w:r>
          </w:p>
        </w:tc>
        <w:tc>
          <w:tcPr>
            <w:tcW w:w="855" w:type="dxa"/>
            <w:tcBorders>
              <w:bottom w:val="single" w:sz="4" w:space="0" w:color="auto"/>
            </w:tcBorders>
          </w:tcPr>
          <w:p w14:paraId="7D6A6BD9"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kern w:val="0"/>
                <w:sz w:val="20"/>
                <w:szCs w:val="20"/>
                <w:lang w:eastAsia="hr-HR"/>
              </w:rPr>
            </w:pPr>
            <w:r w:rsidRPr="009E0336">
              <w:rPr>
                <w:rFonts w:ascii="Times New Roman" w:eastAsia="Times New Roman" w:hAnsi="Times New Roman" w:cs="Times New Roman"/>
                <w:kern w:val="0"/>
                <w:sz w:val="20"/>
                <w:szCs w:val="20"/>
                <w:lang w:eastAsia="hr-HR"/>
              </w:rPr>
              <w:t xml:space="preserve">  Zavod</w:t>
            </w:r>
          </w:p>
        </w:tc>
        <w:tc>
          <w:tcPr>
            <w:tcW w:w="0" w:type="auto"/>
            <w:tcBorders>
              <w:bottom w:val="single" w:sz="4" w:space="0" w:color="auto"/>
            </w:tcBorders>
            <w:shd w:val="clear" w:color="auto" w:fill="auto"/>
          </w:tcPr>
          <w:p w14:paraId="76B85E7D"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kern w:val="0"/>
                <w:sz w:val="20"/>
                <w:szCs w:val="20"/>
                <w:lang w:eastAsia="hr-HR"/>
              </w:rPr>
            </w:pPr>
            <w:r w:rsidRPr="009E0336">
              <w:rPr>
                <w:rFonts w:ascii="Times New Roman" w:eastAsia="Times New Roman" w:hAnsi="Times New Roman" w:cs="Times New Roman"/>
                <w:kern w:val="0"/>
                <w:sz w:val="20"/>
                <w:szCs w:val="20"/>
                <w:lang w:eastAsia="hr-HR"/>
              </w:rPr>
              <w:t xml:space="preserve">      0</w:t>
            </w:r>
          </w:p>
          <w:p w14:paraId="1A0DC897"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kern w:val="0"/>
                <w:sz w:val="20"/>
                <w:szCs w:val="20"/>
                <w:lang w:eastAsia="hr-HR"/>
              </w:rPr>
            </w:pPr>
          </w:p>
          <w:p w14:paraId="1DD500FB"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kern w:val="0"/>
                <w:sz w:val="20"/>
                <w:szCs w:val="20"/>
                <w:lang w:eastAsia="hr-HR"/>
              </w:rPr>
            </w:pPr>
          </w:p>
          <w:p w14:paraId="0F935289"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kern w:val="0"/>
                <w:sz w:val="20"/>
                <w:szCs w:val="20"/>
                <w:lang w:eastAsia="hr-HR"/>
              </w:rPr>
            </w:pPr>
          </w:p>
          <w:p w14:paraId="21D211D6"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kern w:val="0"/>
                <w:sz w:val="20"/>
                <w:szCs w:val="20"/>
                <w:lang w:eastAsia="hr-HR"/>
              </w:rPr>
            </w:pPr>
          </w:p>
          <w:p w14:paraId="1302FDD6"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kern w:val="0"/>
                <w:sz w:val="20"/>
                <w:szCs w:val="20"/>
                <w:lang w:eastAsia="hr-HR"/>
              </w:rPr>
            </w:pPr>
          </w:p>
          <w:p w14:paraId="74D0ABF8"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kern w:val="0"/>
                <w:sz w:val="20"/>
                <w:szCs w:val="20"/>
                <w:lang w:eastAsia="hr-HR"/>
              </w:rPr>
            </w:pPr>
          </w:p>
          <w:p w14:paraId="04622FE6"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kern w:val="0"/>
                <w:sz w:val="20"/>
                <w:szCs w:val="20"/>
                <w:lang w:eastAsia="hr-HR"/>
              </w:rPr>
            </w:pPr>
          </w:p>
        </w:tc>
        <w:tc>
          <w:tcPr>
            <w:tcW w:w="0" w:type="auto"/>
            <w:shd w:val="clear" w:color="auto" w:fill="auto"/>
          </w:tcPr>
          <w:p w14:paraId="45D4461F"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kern w:val="0"/>
                <w:sz w:val="20"/>
                <w:szCs w:val="20"/>
                <w:lang w:eastAsia="hr-HR"/>
              </w:rPr>
            </w:pPr>
            <w:r w:rsidRPr="009E0336">
              <w:rPr>
                <w:rFonts w:ascii="Times New Roman" w:eastAsia="Times New Roman" w:hAnsi="Times New Roman" w:cs="Times New Roman"/>
                <w:kern w:val="0"/>
                <w:sz w:val="20"/>
                <w:szCs w:val="20"/>
                <w:lang w:eastAsia="hr-HR"/>
              </w:rPr>
              <w:t xml:space="preserve">      0</w:t>
            </w:r>
          </w:p>
        </w:tc>
        <w:tc>
          <w:tcPr>
            <w:tcW w:w="0" w:type="auto"/>
            <w:shd w:val="clear" w:color="auto" w:fill="auto"/>
          </w:tcPr>
          <w:p w14:paraId="7B92FC9C"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kern w:val="0"/>
                <w:sz w:val="20"/>
                <w:szCs w:val="20"/>
                <w:lang w:eastAsia="hr-HR"/>
              </w:rPr>
            </w:pPr>
            <w:r w:rsidRPr="009E0336">
              <w:rPr>
                <w:rFonts w:ascii="Times New Roman" w:eastAsia="Times New Roman" w:hAnsi="Times New Roman" w:cs="Times New Roman"/>
                <w:kern w:val="0"/>
                <w:sz w:val="20"/>
                <w:szCs w:val="20"/>
                <w:lang w:eastAsia="hr-HR"/>
              </w:rPr>
              <w:t xml:space="preserve">      0</w:t>
            </w:r>
          </w:p>
        </w:tc>
      </w:tr>
    </w:tbl>
    <w:p w14:paraId="689287BA" w14:textId="77777777" w:rsidR="006E02AC" w:rsidRPr="009E0336" w:rsidRDefault="006E02AC" w:rsidP="006E02AC">
      <w:pPr>
        <w:pStyle w:val="Standard"/>
        <w:rPr>
          <w:sz w:val="20"/>
          <w:szCs w:val="20"/>
        </w:rPr>
      </w:pPr>
    </w:p>
    <w:p w14:paraId="7A28F7E8" w14:textId="77777777" w:rsidR="006E02AC" w:rsidRPr="009E0336" w:rsidRDefault="006E02AC" w:rsidP="006E02AC">
      <w:pPr>
        <w:pStyle w:val="Standard"/>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1928"/>
        <w:gridCol w:w="5524"/>
      </w:tblGrid>
      <w:tr w:rsidR="006E02AC" w:rsidRPr="009E0336" w14:paraId="4751F798" w14:textId="77777777" w:rsidTr="006E02AC">
        <w:trPr>
          <w:trHeight w:val="517"/>
        </w:trPr>
        <w:tc>
          <w:tcPr>
            <w:tcW w:w="1852" w:type="dxa"/>
            <w:shd w:val="clear" w:color="auto" w:fill="D9D9D9"/>
          </w:tcPr>
          <w:p w14:paraId="10BB8721"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b/>
                <w:bCs/>
                <w:color w:val="000000"/>
                <w:kern w:val="0"/>
                <w:sz w:val="20"/>
                <w:szCs w:val="20"/>
                <w:lang w:eastAsia="hr-HR"/>
              </w:rPr>
            </w:pPr>
            <w:r w:rsidRPr="009E0336">
              <w:rPr>
                <w:rFonts w:ascii="Times New Roman" w:eastAsia="Times New Roman" w:hAnsi="Times New Roman" w:cs="Times New Roman"/>
                <w:b/>
                <w:bCs/>
                <w:color w:val="000000"/>
                <w:kern w:val="0"/>
                <w:sz w:val="20"/>
                <w:szCs w:val="20"/>
                <w:lang w:eastAsia="hr-HR"/>
              </w:rPr>
              <w:t>Aktivnost/ Projekt:</w:t>
            </w:r>
          </w:p>
        </w:tc>
        <w:tc>
          <w:tcPr>
            <w:tcW w:w="1829" w:type="dxa"/>
            <w:tcBorders>
              <w:top w:val="single" w:sz="4" w:space="0" w:color="auto"/>
            </w:tcBorders>
            <w:shd w:val="clear" w:color="auto" w:fill="auto"/>
          </w:tcPr>
          <w:p w14:paraId="053BBC9B"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b/>
                <w:bCs/>
                <w:color w:val="000000"/>
                <w:kern w:val="0"/>
                <w:sz w:val="20"/>
                <w:szCs w:val="20"/>
                <w:lang w:eastAsia="hr-HR"/>
              </w:rPr>
            </w:pPr>
            <w:r w:rsidRPr="009E0336">
              <w:rPr>
                <w:rFonts w:ascii="Times New Roman" w:eastAsia="Times New Roman" w:hAnsi="Times New Roman" w:cs="Times New Roman"/>
                <w:b/>
                <w:bCs/>
                <w:color w:val="000000"/>
                <w:kern w:val="0"/>
                <w:sz w:val="20"/>
                <w:szCs w:val="20"/>
                <w:lang w:eastAsia="hr-HR"/>
              </w:rPr>
              <w:t>A003020T302012</w:t>
            </w:r>
          </w:p>
        </w:tc>
        <w:tc>
          <w:tcPr>
            <w:tcW w:w="5721" w:type="dxa"/>
            <w:tcBorders>
              <w:top w:val="single" w:sz="4" w:space="0" w:color="auto"/>
            </w:tcBorders>
            <w:shd w:val="clear" w:color="auto" w:fill="auto"/>
          </w:tcPr>
          <w:p w14:paraId="5FBF41F3"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b/>
                <w:bCs/>
                <w:color w:val="000000"/>
                <w:kern w:val="0"/>
                <w:sz w:val="20"/>
                <w:szCs w:val="20"/>
                <w:lang w:eastAsia="hr-HR"/>
              </w:rPr>
            </w:pPr>
            <w:r w:rsidRPr="009E0336">
              <w:rPr>
                <w:rFonts w:ascii="Times New Roman" w:eastAsia="Times New Roman" w:hAnsi="Times New Roman" w:cs="Times New Roman"/>
                <w:b/>
                <w:bCs/>
                <w:color w:val="000000"/>
                <w:kern w:val="0"/>
                <w:sz w:val="20"/>
                <w:szCs w:val="20"/>
                <w:lang w:eastAsia="hr-HR"/>
              </w:rPr>
              <w:t xml:space="preserve">Nacionalni plan oporavka i otpornosti - Specijalističko usavršavanje </w:t>
            </w:r>
            <w:proofErr w:type="spellStart"/>
            <w:r w:rsidRPr="009E0336">
              <w:rPr>
                <w:rFonts w:ascii="Times New Roman" w:eastAsia="Times New Roman" w:hAnsi="Times New Roman" w:cs="Times New Roman"/>
                <w:b/>
                <w:bCs/>
                <w:color w:val="000000"/>
                <w:kern w:val="0"/>
                <w:sz w:val="20"/>
                <w:szCs w:val="20"/>
                <w:lang w:eastAsia="hr-HR"/>
              </w:rPr>
              <w:t>med.sestara</w:t>
            </w:r>
            <w:proofErr w:type="spellEnd"/>
            <w:r w:rsidRPr="009E0336">
              <w:rPr>
                <w:rFonts w:ascii="Times New Roman" w:eastAsia="Times New Roman" w:hAnsi="Times New Roman" w:cs="Times New Roman"/>
                <w:b/>
                <w:bCs/>
                <w:color w:val="000000"/>
                <w:kern w:val="0"/>
                <w:sz w:val="20"/>
                <w:szCs w:val="20"/>
                <w:lang w:eastAsia="hr-HR"/>
              </w:rPr>
              <w:t xml:space="preserve"> i tehničara</w:t>
            </w:r>
          </w:p>
        </w:tc>
      </w:tr>
      <w:tr w:rsidR="006E02AC" w:rsidRPr="009E0336" w14:paraId="12FC8CE4" w14:textId="77777777" w:rsidTr="006E02AC">
        <w:trPr>
          <w:trHeight w:val="517"/>
        </w:trPr>
        <w:tc>
          <w:tcPr>
            <w:tcW w:w="1852" w:type="dxa"/>
            <w:shd w:val="clear" w:color="auto" w:fill="D9D9D9"/>
          </w:tcPr>
          <w:p w14:paraId="2E9466C6"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b/>
                <w:bCs/>
                <w:color w:val="000000"/>
                <w:kern w:val="0"/>
                <w:sz w:val="20"/>
                <w:szCs w:val="20"/>
                <w:lang w:eastAsia="hr-HR"/>
              </w:rPr>
            </w:pPr>
            <w:r w:rsidRPr="009E0336">
              <w:rPr>
                <w:rFonts w:ascii="Times New Roman" w:eastAsia="Times New Roman" w:hAnsi="Times New Roman" w:cs="Times New Roman"/>
                <w:b/>
                <w:bCs/>
                <w:color w:val="000000"/>
                <w:kern w:val="0"/>
                <w:sz w:val="20"/>
                <w:szCs w:val="20"/>
                <w:lang w:eastAsia="hr-HR"/>
              </w:rPr>
              <w:t>Zakonska i druga pravna osnova:</w:t>
            </w:r>
          </w:p>
        </w:tc>
        <w:tc>
          <w:tcPr>
            <w:tcW w:w="7550" w:type="dxa"/>
            <w:gridSpan w:val="2"/>
            <w:shd w:val="clear" w:color="auto" w:fill="auto"/>
          </w:tcPr>
          <w:p w14:paraId="0E378AA1" w14:textId="77777777" w:rsidR="006E02AC" w:rsidRPr="009E0336" w:rsidRDefault="006E02AC" w:rsidP="00C86136">
            <w:pPr>
              <w:widowControl/>
              <w:suppressAutoHyphens w:val="0"/>
              <w:autoSpaceDN/>
              <w:spacing w:after="0" w:line="240" w:lineRule="auto"/>
              <w:jc w:val="both"/>
              <w:rPr>
                <w:rFonts w:ascii="Times New Roman" w:hAnsi="Times New Roman" w:cs="Times New Roman"/>
                <w:sz w:val="20"/>
                <w:szCs w:val="20"/>
              </w:rPr>
            </w:pPr>
            <w:r w:rsidRPr="009E0336">
              <w:rPr>
                <w:rFonts w:ascii="Times New Roman" w:eastAsia="Symbol" w:hAnsi="Times New Roman" w:cs="Times New Roman"/>
                <w:sz w:val="20"/>
                <w:szCs w:val="20"/>
                <w:lang w:val="pl-PL"/>
              </w:rPr>
              <w:t xml:space="preserve">Zakon o zdravstvenoj zaštiti, Zakon o obveznom zdravstvenom osiguranju,  Pravilnik o specijalističkom usavršavanju prvostupnika sestrinstva u djelatnosti hitne medicine, Pravilnik o izmjenama pravilnika o specijalističkom usavršavanju prvostupnika sestrinstva u djelatnosti hitne medicine, Pravilnik o proračunskom računovodstvu i računskom planu, Kolektivni ugovor za djelatnost zdravstva i zdravstvenog osiguranja, Nacionalni plan razvoja zdravstva 2021.-2027., </w:t>
            </w:r>
            <w:r w:rsidRPr="009E0336">
              <w:rPr>
                <w:rFonts w:ascii="Times New Roman" w:hAnsi="Times New Roman" w:cs="Times New Roman"/>
                <w:sz w:val="20"/>
                <w:szCs w:val="20"/>
              </w:rPr>
              <w:t>Odluka o financiranju projekta specijalističkog usavršavanja za djelatnosti prihvatljive za financiranje iz sredstava Specijalističko usavršavanje medicinskih sestara i tehničara u djelatnosti hitne medicine u okviru Nacionalnog plana oporavka i otpornosti 2021.-2026., Odluka o specijalističkom usavršavanju medicinskih sestara i tehničara u djelatnosti hitne medicine financijskim sredstvima Mehanizma za oporavak i otpornost dodijeljenih Ministarstvu zdravstva za provedbu Nacionalnog plana oporavka i otpornosti 2021.-2026., Ugovor o dodjeli bespovratnih sredstava Specijalističko usavršavanje medicinskih sestara i tehničara u ZHMSDŽ br.1, kodni broj: NPOO.C5.1.R3-I2.01.0031</w:t>
            </w:r>
          </w:p>
          <w:p w14:paraId="03CE0E05" w14:textId="77777777" w:rsidR="006E02AC" w:rsidRPr="009E0336" w:rsidRDefault="006E02AC" w:rsidP="00C86136">
            <w:pPr>
              <w:widowControl/>
              <w:suppressAutoHyphens w:val="0"/>
              <w:autoSpaceDN/>
              <w:spacing w:after="0" w:line="240" w:lineRule="auto"/>
              <w:jc w:val="both"/>
              <w:rPr>
                <w:rFonts w:ascii="Times New Roman" w:eastAsia="Symbol" w:hAnsi="Times New Roman" w:cs="Times New Roman"/>
                <w:color w:val="000000"/>
                <w:kern w:val="0"/>
                <w:sz w:val="20"/>
                <w:szCs w:val="20"/>
                <w:lang w:val="pl-PL" w:eastAsia="hr-HR"/>
              </w:rPr>
            </w:pPr>
          </w:p>
        </w:tc>
      </w:tr>
      <w:tr w:rsidR="006E02AC" w:rsidRPr="009E0336" w14:paraId="1916D93D" w14:textId="77777777" w:rsidTr="006E02AC">
        <w:trPr>
          <w:trHeight w:val="257"/>
        </w:trPr>
        <w:tc>
          <w:tcPr>
            <w:tcW w:w="1852" w:type="dxa"/>
            <w:shd w:val="clear" w:color="auto" w:fill="D9D9D9"/>
          </w:tcPr>
          <w:p w14:paraId="7DB5CDB5"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b/>
                <w:bCs/>
                <w:color w:val="000000"/>
                <w:kern w:val="0"/>
                <w:sz w:val="20"/>
                <w:szCs w:val="20"/>
                <w:lang w:eastAsia="hr-HR"/>
              </w:rPr>
            </w:pPr>
            <w:r w:rsidRPr="009E0336">
              <w:rPr>
                <w:rFonts w:ascii="Times New Roman" w:eastAsia="Times New Roman" w:hAnsi="Times New Roman" w:cs="Times New Roman"/>
                <w:b/>
                <w:bCs/>
                <w:color w:val="000000"/>
                <w:kern w:val="0"/>
                <w:sz w:val="20"/>
                <w:szCs w:val="20"/>
                <w:lang w:eastAsia="hr-HR"/>
              </w:rPr>
              <w:t xml:space="preserve">Opis aktivnosti / projekta </w:t>
            </w:r>
          </w:p>
        </w:tc>
        <w:tc>
          <w:tcPr>
            <w:tcW w:w="7550" w:type="dxa"/>
            <w:gridSpan w:val="2"/>
            <w:shd w:val="clear" w:color="auto" w:fill="auto"/>
          </w:tcPr>
          <w:p w14:paraId="42A19283" w14:textId="77777777" w:rsidR="006E02AC" w:rsidRPr="009E0336" w:rsidRDefault="006E02AC" w:rsidP="00C86136">
            <w:pPr>
              <w:snapToGrid w:val="0"/>
              <w:jc w:val="both"/>
              <w:rPr>
                <w:rFonts w:ascii="Times New Roman" w:hAnsi="Times New Roman" w:cs="Times New Roman"/>
                <w:sz w:val="20"/>
                <w:szCs w:val="20"/>
              </w:rPr>
            </w:pPr>
            <w:r w:rsidRPr="009E0336">
              <w:rPr>
                <w:rFonts w:ascii="Times New Roman" w:hAnsi="Times New Roman" w:cs="Times New Roman"/>
                <w:sz w:val="20"/>
                <w:szCs w:val="20"/>
              </w:rPr>
              <w:t xml:space="preserve">Cilj ovog projekta je, kroz financiranje specijalističkog usavršavanja medicinskih sestara i tehničara, prvostupnika sestrinstva u djelatnosti hitne medicine, osigurati znanja i vještine odnosno kompetencije za samostalan rad u hitnoj medicinskoj službi. Na taj način usluge hitne medicine postat će dostupnije svim pacijentima što povećava učinkovitost i kvalitetu postojećih timova, čime se osigurava jačanje otpornosti zdravstvenog sustava i njegove sposobnosti da odgovori na zdravstvene krize poboljšanjem pristupa uslugama zdravstvene zaštite u depriviranim područjima i visokokvalitetnim uslugama hitne medicine na području Splitsko-dalmatinske županije. </w:t>
            </w:r>
          </w:p>
          <w:p w14:paraId="4B7E8BDF" w14:textId="77777777" w:rsidR="006E02AC" w:rsidRPr="009E0336" w:rsidRDefault="006E02AC" w:rsidP="00C86136">
            <w:pPr>
              <w:snapToGrid w:val="0"/>
              <w:jc w:val="both"/>
              <w:rPr>
                <w:rFonts w:ascii="Times New Roman" w:hAnsi="Times New Roman" w:cs="Times New Roman"/>
                <w:sz w:val="20"/>
                <w:szCs w:val="20"/>
              </w:rPr>
            </w:pPr>
            <w:r w:rsidRPr="009E0336">
              <w:rPr>
                <w:rFonts w:ascii="Times New Roman" w:hAnsi="Times New Roman" w:cs="Times New Roman"/>
                <w:sz w:val="20"/>
                <w:szCs w:val="20"/>
              </w:rPr>
              <w:t xml:space="preserve">Pravilnikom o izmjenama pravilnika o specijalističkom usavršavanju prvostupnika sestrinstva u djelatnosti hitne medicine koji je stupio na snagu 30.11.2022.god. propisano je kako najmanje jedan član tima T2, prvostupnik sestrinstva zaposlen u Zavodu, mora u roku tri godine završiti specijalističko usavršavanje u djelatnosti hitne medicine. Izmjenom Mreže hitne medicine i sanitetskog prijevoza (NN 134/2023) određeno je 35 timova T2 hitne medicine koji trebaju biti uspostavljeni na području Splitsko-dalmatinske županije, što znači da Zavod treba do kraja 2025.g. stručno osposobiti najmanje 35 prvostupnika sestrinstva u djelatnosti hitne medicine.  </w:t>
            </w:r>
          </w:p>
          <w:p w14:paraId="50C8D383" w14:textId="77777777" w:rsidR="006E02AC" w:rsidRPr="009E0336" w:rsidRDefault="006E02AC" w:rsidP="00C86136">
            <w:pPr>
              <w:snapToGrid w:val="0"/>
              <w:jc w:val="both"/>
              <w:rPr>
                <w:rFonts w:ascii="Times New Roman" w:hAnsi="Times New Roman" w:cs="Times New Roman"/>
                <w:sz w:val="20"/>
                <w:szCs w:val="20"/>
              </w:rPr>
            </w:pPr>
            <w:r w:rsidRPr="009E0336">
              <w:rPr>
                <w:rFonts w:ascii="Times New Roman" w:hAnsi="Times New Roman" w:cs="Times New Roman"/>
                <w:sz w:val="20"/>
                <w:szCs w:val="20"/>
              </w:rPr>
              <w:t>Prijavom projekta specijalističkog usavršavanja prvostupnika sestrinstva u djelatnosti hitne medicine prihvatljivog za financiranje iz sredstava Centralno financiranje specijalizacija u okviru Nacionalnog plana oporavka i otpornosti za razdoblje 2021.-2026., Zavodu za hitnu medicinu SDŽ biti će omogućeno nužno financiranje 35 specijalizacija prvostupnika sestrinstva  iz djelatnosti hitne medicine. Zavod je tijekom 2023.g. uputio na specijalizaciju 13 prvostupnika sestrinstva, koji su specijalistički ispit položili u 2024.g. te postali specijalisti u djelatnosti hitne medicine. Zavod će u 2024.g. uputiti još 22 prvostupnika sestrinstva na specijalizaciju iz hitne medicine.</w:t>
            </w:r>
          </w:p>
          <w:p w14:paraId="436718D7" w14:textId="77777777" w:rsidR="006E02AC" w:rsidRPr="009E0336" w:rsidRDefault="006E02AC" w:rsidP="00C86136">
            <w:pPr>
              <w:snapToGrid w:val="0"/>
              <w:jc w:val="both"/>
              <w:rPr>
                <w:rFonts w:ascii="Times New Roman" w:hAnsi="Times New Roman" w:cs="Times New Roman"/>
                <w:sz w:val="20"/>
                <w:szCs w:val="20"/>
              </w:rPr>
            </w:pPr>
            <w:r w:rsidRPr="009E0336">
              <w:rPr>
                <w:rFonts w:ascii="Times New Roman" w:hAnsi="Times New Roman" w:cs="Times New Roman"/>
                <w:sz w:val="20"/>
                <w:szCs w:val="20"/>
              </w:rPr>
              <w:t>Specijalizacija prvostupnika sestrinstva iz hitne medicine traje 12 mjeseci.</w:t>
            </w:r>
          </w:p>
          <w:p w14:paraId="6530B82F" w14:textId="77777777" w:rsidR="006E02AC" w:rsidRPr="009E0336" w:rsidRDefault="006E02AC" w:rsidP="00C86136">
            <w:pPr>
              <w:widowControl/>
              <w:suppressAutoHyphens w:val="0"/>
              <w:autoSpaceDN/>
              <w:spacing w:after="0" w:line="240" w:lineRule="auto"/>
              <w:jc w:val="both"/>
              <w:rPr>
                <w:rFonts w:ascii="Times New Roman" w:eastAsia="Times New Roman" w:hAnsi="Times New Roman" w:cs="Times New Roman"/>
                <w:bCs/>
                <w:color w:val="000000"/>
                <w:kern w:val="0"/>
                <w:sz w:val="20"/>
                <w:szCs w:val="20"/>
                <w:lang w:eastAsia="hr-HR"/>
              </w:rPr>
            </w:pPr>
            <w:r w:rsidRPr="009E0336">
              <w:rPr>
                <w:rFonts w:ascii="Times New Roman" w:hAnsi="Times New Roman" w:cs="Times New Roman"/>
                <w:bCs/>
                <w:sz w:val="20"/>
                <w:szCs w:val="20"/>
              </w:rPr>
              <w:t xml:space="preserve">Ova aktivnost, koja obuhvaća 2,2 % ukupnog plana za 2025.g. sastoji se od rashoda za zaposlene i materijalnih rashoda koji se financiraju u cijelosti iz </w:t>
            </w:r>
            <w:r w:rsidRPr="009E0336">
              <w:rPr>
                <w:rFonts w:ascii="Times New Roman" w:hAnsi="Times New Roman" w:cs="Times New Roman"/>
                <w:sz w:val="20"/>
                <w:szCs w:val="20"/>
              </w:rPr>
              <w:t>Nacionalnog plana oporavka i otpornosti (izvor pomoći EU)</w:t>
            </w:r>
            <w:r w:rsidRPr="009E0336">
              <w:rPr>
                <w:rFonts w:ascii="Times New Roman" w:hAnsi="Times New Roman" w:cs="Times New Roman"/>
                <w:bCs/>
                <w:sz w:val="20"/>
                <w:szCs w:val="20"/>
              </w:rPr>
              <w:t xml:space="preserve"> u iznosu od 740.000,00 €.</w:t>
            </w:r>
          </w:p>
        </w:tc>
      </w:tr>
      <w:tr w:rsidR="006E02AC" w:rsidRPr="009E0336" w14:paraId="0DA4B138" w14:textId="77777777" w:rsidTr="006E02AC">
        <w:trPr>
          <w:trHeight w:val="257"/>
        </w:trPr>
        <w:tc>
          <w:tcPr>
            <w:tcW w:w="1852" w:type="dxa"/>
            <w:shd w:val="clear" w:color="auto" w:fill="D9D9D9"/>
          </w:tcPr>
          <w:p w14:paraId="1C98BDCC"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b/>
                <w:bCs/>
                <w:color w:val="000000"/>
                <w:kern w:val="0"/>
                <w:sz w:val="20"/>
                <w:szCs w:val="20"/>
                <w:lang w:eastAsia="hr-HR"/>
              </w:rPr>
            </w:pPr>
            <w:r w:rsidRPr="009E0336">
              <w:rPr>
                <w:rFonts w:ascii="Times New Roman" w:eastAsia="Times New Roman" w:hAnsi="Times New Roman" w:cs="Times New Roman"/>
                <w:b/>
                <w:bCs/>
                <w:color w:val="000000"/>
                <w:kern w:val="0"/>
                <w:sz w:val="20"/>
                <w:szCs w:val="20"/>
                <w:lang w:eastAsia="hr-HR"/>
              </w:rPr>
              <w:t>Obrazloženje izračuna financijskih sredstava</w:t>
            </w:r>
          </w:p>
        </w:tc>
        <w:tc>
          <w:tcPr>
            <w:tcW w:w="7550" w:type="dxa"/>
            <w:gridSpan w:val="2"/>
            <w:shd w:val="clear" w:color="auto" w:fill="auto"/>
          </w:tcPr>
          <w:p w14:paraId="2AB5FD46" w14:textId="45A3C304" w:rsidR="006E02AC" w:rsidRPr="009E0336" w:rsidRDefault="006E02AC" w:rsidP="00C86136">
            <w:pPr>
              <w:jc w:val="both"/>
              <w:rPr>
                <w:rFonts w:ascii="Times New Roman" w:hAnsi="Times New Roman" w:cs="Times New Roman"/>
                <w:bCs/>
                <w:color w:val="000000"/>
                <w:sz w:val="20"/>
                <w:szCs w:val="20"/>
              </w:rPr>
            </w:pPr>
            <w:r w:rsidRPr="009E0336">
              <w:rPr>
                <w:rFonts w:ascii="Times New Roman" w:hAnsi="Times New Roman" w:cs="Times New Roman"/>
                <w:bCs/>
                <w:color w:val="000000"/>
                <w:sz w:val="20"/>
                <w:szCs w:val="20"/>
              </w:rPr>
              <w:t xml:space="preserve">U 2025.g. prihodima od pomoći iz Nacionalnog plana oporavka i otpornosti  financirati će se rashodi za plaće 22 prvostupnika sestrinstva u iznosu od 620.000,00 € što čini 1,9 % ukupnih rashoda te drugi materijalni rashodi u iznosu od 120.000,00 € što čini 0,4 % ukupnih rashoda. U 2026.g. i 2027.g. ne planiraju se rashodi po ovoj aktivnosti jer </w:t>
            </w:r>
            <w:r w:rsidR="00D75D48" w:rsidRPr="009E0336">
              <w:rPr>
                <w:rFonts w:ascii="Times New Roman" w:hAnsi="Times New Roman" w:cs="Times New Roman"/>
                <w:bCs/>
                <w:color w:val="000000"/>
                <w:sz w:val="20"/>
                <w:szCs w:val="20"/>
              </w:rPr>
              <w:t xml:space="preserve">se očekuje </w:t>
            </w:r>
            <w:r w:rsidRPr="009E0336">
              <w:rPr>
                <w:rFonts w:ascii="Times New Roman" w:hAnsi="Times New Roman" w:cs="Times New Roman"/>
                <w:bCs/>
                <w:color w:val="000000"/>
                <w:sz w:val="20"/>
                <w:szCs w:val="20"/>
              </w:rPr>
              <w:t xml:space="preserve">da </w:t>
            </w:r>
            <w:r w:rsidR="00D75D48" w:rsidRPr="009E0336">
              <w:rPr>
                <w:rFonts w:ascii="Times New Roman" w:hAnsi="Times New Roman" w:cs="Times New Roman"/>
                <w:bCs/>
                <w:color w:val="000000"/>
                <w:sz w:val="20"/>
                <w:szCs w:val="20"/>
              </w:rPr>
              <w:t xml:space="preserve">će </w:t>
            </w:r>
            <w:r w:rsidRPr="009E0336">
              <w:rPr>
                <w:rFonts w:ascii="Times New Roman" w:hAnsi="Times New Roman" w:cs="Times New Roman"/>
                <w:bCs/>
                <w:color w:val="000000"/>
                <w:sz w:val="20"/>
                <w:szCs w:val="20"/>
              </w:rPr>
              <w:t xml:space="preserve">sve specijalizacije </w:t>
            </w:r>
            <w:r w:rsidR="00D75D48" w:rsidRPr="009E0336">
              <w:rPr>
                <w:rFonts w:ascii="Times New Roman" w:hAnsi="Times New Roman" w:cs="Times New Roman"/>
                <w:bCs/>
                <w:color w:val="000000"/>
                <w:sz w:val="20"/>
                <w:szCs w:val="20"/>
              </w:rPr>
              <w:t xml:space="preserve">biti </w:t>
            </w:r>
            <w:r w:rsidRPr="009E0336">
              <w:rPr>
                <w:rFonts w:ascii="Times New Roman" w:hAnsi="Times New Roman" w:cs="Times New Roman"/>
                <w:bCs/>
                <w:color w:val="000000"/>
                <w:sz w:val="20"/>
                <w:szCs w:val="20"/>
              </w:rPr>
              <w:t>okonča</w:t>
            </w:r>
            <w:r w:rsidR="00D75D48" w:rsidRPr="009E0336">
              <w:rPr>
                <w:rFonts w:ascii="Times New Roman" w:hAnsi="Times New Roman" w:cs="Times New Roman"/>
                <w:bCs/>
                <w:color w:val="000000"/>
                <w:sz w:val="20"/>
                <w:szCs w:val="20"/>
              </w:rPr>
              <w:t>ne</w:t>
            </w:r>
            <w:r w:rsidRPr="009E0336">
              <w:rPr>
                <w:rFonts w:ascii="Times New Roman" w:hAnsi="Times New Roman" w:cs="Times New Roman"/>
                <w:bCs/>
                <w:color w:val="000000"/>
                <w:sz w:val="20"/>
                <w:szCs w:val="20"/>
              </w:rPr>
              <w:t xml:space="preserve"> do kraja 2025.g. </w:t>
            </w:r>
          </w:p>
          <w:p w14:paraId="22C228D1" w14:textId="77777777" w:rsidR="006E02AC" w:rsidRPr="009E0336" w:rsidRDefault="006E02AC" w:rsidP="00C86136">
            <w:pPr>
              <w:widowControl/>
              <w:suppressAutoHyphens w:val="0"/>
              <w:autoSpaceDN/>
              <w:spacing w:after="0" w:line="240" w:lineRule="auto"/>
              <w:jc w:val="both"/>
              <w:rPr>
                <w:rFonts w:ascii="Times New Roman" w:eastAsia="Times New Roman" w:hAnsi="Times New Roman" w:cs="Times New Roman"/>
                <w:bCs/>
                <w:color w:val="000000"/>
                <w:kern w:val="0"/>
                <w:sz w:val="20"/>
                <w:szCs w:val="20"/>
                <w:lang w:eastAsia="hr-HR"/>
              </w:rPr>
            </w:pPr>
            <w:r w:rsidRPr="009E0336">
              <w:rPr>
                <w:rFonts w:ascii="Times New Roman" w:hAnsi="Times New Roman" w:cs="Times New Roman"/>
                <w:bCs/>
                <w:color w:val="000000"/>
                <w:sz w:val="20"/>
                <w:szCs w:val="20"/>
              </w:rPr>
              <w:t>Tijekom 2025.g. planiraju se u istom iznosu uravnoteženo prihodi i rashodi.</w:t>
            </w:r>
          </w:p>
        </w:tc>
      </w:tr>
      <w:tr w:rsidR="006E02AC" w:rsidRPr="009E0336" w14:paraId="107F7A44" w14:textId="77777777" w:rsidTr="00C86136">
        <w:trPr>
          <w:trHeight w:val="257"/>
        </w:trPr>
        <w:tc>
          <w:tcPr>
            <w:tcW w:w="0" w:type="auto"/>
            <w:gridSpan w:val="3"/>
            <w:shd w:val="clear" w:color="auto"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786"/>
              <w:gridCol w:w="1502"/>
              <w:gridCol w:w="1481"/>
              <w:gridCol w:w="1701"/>
              <w:gridCol w:w="1363"/>
            </w:tblGrid>
            <w:tr w:rsidR="006E02AC" w:rsidRPr="009E0336" w14:paraId="11A7EF8E" w14:textId="77777777" w:rsidTr="00C86136">
              <w:trPr>
                <w:trHeight w:val="219"/>
              </w:trPr>
              <w:tc>
                <w:tcPr>
                  <w:tcW w:w="0" w:type="auto"/>
                  <w:shd w:val="clear" w:color="auto" w:fill="F2F2F2"/>
                </w:tcPr>
                <w:p w14:paraId="022F7C47" w14:textId="77777777" w:rsidR="006E02AC" w:rsidRPr="009E0336" w:rsidRDefault="006E02AC" w:rsidP="00C86136">
                  <w:pPr>
                    <w:widowControl/>
                    <w:suppressAutoHyphens w:val="0"/>
                    <w:autoSpaceDN/>
                    <w:spacing w:after="0" w:line="240" w:lineRule="auto"/>
                    <w:jc w:val="center"/>
                    <w:rPr>
                      <w:rFonts w:ascii="Times New Roman" w:eastAsia="Times New Roman" w:hAnsi="Times New Roman" w:cs="Times New Roman"/>
                      <w:b/>
                      <w:bCs/>
                      <w:color w:val="000000"/>
                      <w:kern w:val="0"/>
                      <w:sz w:val="20"/>
                      <w:szCs w:val="20"/>
                      <w:lang w:eastAsia="hr-HR"/>
                    </w:rPr>
                  </w:pPr>
                  <w:r w:rsidRPr="009E0336">
                    <w:rPr>
                      <w:rFonts w:ascii="Times New Roman" w:hAnsi="Times New Roman" w:cs="Times New Roman"/>
                      <w:b/>
                      <w:bCs/>
                      <w:color w:val="000000"/>
                      <w:sz w:val="20"/>
                      <w:szCs w:val="20"/>
                    </w:rPr>
                    <w:t>Izvršeno 2023.</w:t>
                  </w:r>
                </w:p>
              </w:tc>
              <w:tc>
                <w:tcPr>
                  <w:tcW w:w="0" w:type="auto"/>
                  <w:shd w:val="clear" w:color="auto" w:fill="F2F2F2"/>
                </w:tcPr>
                <w:p w14:paraId="72BF557B" w14:textId="77777777" w:rsidR="006E02AC" w:rsidRPr="009E0336" w:rsidRDefault="006E02AC" w:rsidP="00C86136">
                  <w:pPr>
                    <w:widowControl/>
                    <w:suppressAutoHyphens w:val="0"/>
                    <w:autoSpaceDN/>
                    <w:spacing w:after="0" w:line="240" w:lineRule="auto"/>
                    <w:jc w:val="center"/>
                    <w:rPr>
                      <w:rFonts w:ascii="Times New Roman" w:eastAsia="Times New Roman" w:hAnsi="Times New Roman" w:cs="Times New Roman"/>
                      <w:b/>
                      <w:bCs/>
                      <w:color w:val="000000"/>
                      <w:kern w:val="0"/>
                      <w:sz w:val="20"/>
                      <w:szCs w:val="20"/>
                      <w:lang w:eastAsia="hr-HR"/>
                    </w:rPr>
                  </w:pPr>
                  <w:r w:rsidRPr="009E0336">
                    <w:rPr>
                      <w:rFonts w:ascii="Times New Roman" w:hAnsi="Times New Roman" w:cs="Times New Roman"/>
                      <w:b/>
                      <w:bCs/>
                      <w:color w:val="000000"/>
                      <w:sz w:val="20"/>
                      <w:szCs w:val="20"/>
                    </w:rPr>
                    <w:t>Financijski plan 2024.</w:t>
                  </w:r>
                </w:p>
              </w:tc>
              <w:tc>
                <w:tcPr>
                  <w:tcW w:w="0" w:type="auto"/>
                  <w:shd w:val="clear" w:color="auto" w:fill="F2F2F2"/>
                </w:tcPr>
                <w:p w14:paraId="313F378A" w14:textId="77777777" w:rsidR="006E02AC" w:rsidRPr="009E0336" w:rsidRDefault="006E02AC" w:rsidP="00C86136">
                  <w:pPr>
                    <w:widowControl/>
                    <w:suppressAutoHyphens w:val="0"/>
                    <w:autoSpaceDN/>
                    <w:spacing w:after="0" w:line="240" w:lineRule="auto"/>
                    <w:jc w:val="center"/>
                    <w:rPr>
                      <w:rFonts w:ascii="Times New Roman" w:eastAsia="Times New Roman" w:hAnsi="Times New Roman" w:cs="Times New Roman"/>
                      <w:b/>
                      <w:bCs/>
                      <w:color w:val="000000"/>
                      <w:kern w:val="0"/>
                      <w:sz w:val="20"/>
                      <w:szCs w:val="20"/>
                      <w:lang w:eastAsia="hr-HR"/>
                    </w:rPr>
                  </w:pPr>
                  <w:r w:rsidRPr="009E0336">
                    <w:rPr>
                      <w:rFonts w:ascii="Times New Roman" w:hAnsi="Times New Roman" w:cs="Times New Roman"/>
                      <w:b/>
                      <w:bCs/>
                      <w:color w:val="000000"/>
                      <w:sz w:val="20"/>
                      <w:szCs w:val="20"/>
                    </w:rPr>
                    <w:t>I. Rebalans 2024.</w:t>
                  </w:r>
                </w:p>
              </w:tc>
              <w:tc>
                <w:tcPr>
                  <w:tcW w:w="1481" w:type="dxa"/>
                  <w:shd w:val="clear" w:color="auto" w:fill="F2F2F2"/>
                </w:tcPr>
                <w:p w14:paraId="61426A3E" w14:textId="77777777" w:rsidR="006E02AC" w:rsidRPr="009E0336" w:rsidRDefault="006E02AC" w:rsidP="00C86136">
                  <w:pPr>
                    <w:widowControl/>
                    <w:suppressAutoHyphens w:val="0"/>
                    <w:autoSpaceDN/>
                    <w:spacing w:after="0" w:line="240" w:lineRule="auto"/>
                    <w:jc w:val="center"/>
                    <w:rPr>
                      <w:rFonts w:ascii="Times New Roman" w:eastAsia="Times New Roman" w:hAnsi="Times New Roman" w:cs="Times New Roman"/>
                      <w:b/>
                      <w:bCs/>
                      <w:color w:val="000000"/>
                      <w:kern w:val="0"/>
                      <w:sz w:val="20"/>
                      <w:szCs w:val="20"/>
                      <w:lang w:eastAsia="hr-HR"/>
                    </w:rPr>
                  </w:pPr>
                  <w:r w:rsidRPr="009E0336">
                    <w:rPr>
                      <w:rFonts w:ascii="Times New Roman" w:hAnsi="Times New Roman" w:cs="Times New Roman"/>
                      <w:b/>
                      <w:bCs/>
                      <w:color w:val="000000"/>
                      <w:sz w:val="20"/>
                      <w:szCs w:val="20"/>
                    </w:rPr>
                    <w:t>Plan 2025.</w:t>
                  </w:r>
                </w:p>
              </w:tc>
              <w:tc>
                <w:tcPr>
                  <w:tcW w:w="1701" w:type="dxa"/>
                  <w:shd w:val="clear" w:color="auto" w:fill="F2F2F2"/>
                </w:tcPr>
                <w:p w14:paraId="4BF2C6CE" w14:textId="77777777" w:rsidR="006E02AC" w:rsidRPr="009E0336" w:rsidRDefault="006E02AC" w:rsidP="00C86136">
                  <w:pPr>
                    <w:widowControl/>
                    <w:suppressAutoHyphens w:val="0"/>
                    <w:autoSpaceDN/>
                    <w:spacing w:after="0" w:line="240" w:lineRule="auto"/>
                    <w:jc w:val="center"/>
                    <w:rPr>
                      <w:rFonts w:ascii="Times New Roman" w:eastAsia="Times New Roman" w:hAnsi="Times New Roman" w:cs="Times New Roman"/>
                      <w:b/>
                      <w:bCs/>
                      <w:color w:val="000000"/>
                      <w:kern w:val="0"/>
                      <w:sz w:val="20"/>
                      <w:szCs w:val="20"/>
                      <w:lang w:eastAsia="hr-HR"/>
                    </w:rPr>
                  </w:pPr>
                  <w:r w:rsidRPr="009E0336">
                    <w:rPr>
                      <w:rFonts w:ascii="Times New Roman" w:hAnsi="Times New Roman" w:cs="Times New Roman"/>
                      <w:b/>
                      <w:bCs/>
                      <w:color w:val="000000"/>
                      <w:sz w:val="20"/>
                      <w:szCs w:val="20"/>
                    </w:rPr>
                    <w:t>Projekcija 2026.</w:t>
                  </w:r>
                </w:p>
              </w:tc>
              <w:tc>
                <w:tcPr>
                  <w:tcW w:w="1363" w:type="dxa"/>
                  <w:shd w:val="clear" w:color="auto" w:fill="F2F2F2"/>
                </w:tcPr>
                <w:p w14:paraId="3BC1B776" w14:textId="77777777" w:rsidR="006E02AC" w:rsidRPr="009E0336" w:rsidRDefault="006E02AC" w:rsidP="00C86136">
                  <w:pPr>
                    <w:widowControl/>
                    <w:suppressAutoHyphens w:val="0"/>
                    <w:autoSpaceDN/>
                    <w:spacing w:after="0" w:line="240" w:lineRule="auto"/>
                    <w:jc w:val="center"/>
                    <w:rPr>
                      <w:rFonts w:ascii="Times New Roman" w:eastAsia="Times New Roman" w:hAnsi="Times New Roman" w:cs="Times New Roman"/>
                      <w:b/>
                      <w:bCs/>
                      <w:color w:val="000000"/>
                      <w:kern w:val="0"/>
                      <w:sz w:val="20"/>
                      <w:szCs w:val="20"/>
                      <w:lang w:eastAsia="hr-HR"/>
                    </w:rPr>
                  </w:pPr>
                  <w:r w:rsidRPr="009E0336">
                    <w:rPr>
                      <w:rFonts w:ascii="Times New Roman" w:hAnsi="Times New Roman" w:cs="Times New Roman"/>
                      <w:b/>
                      <w:bCs/>
                      <w:color w:val="000000"/>
                      <w:sz w:val="20"/>
                      <w:szCs w:val="20"/>
                    </w:rPr>
                    <w:t>Projekcija 2027.</w:t>
                  </w:r>
                </w:p>
              </w:tc>
            </w:tr>
            <w:tr w:rsidR="006E02AC" w:rsidRPr="009E0336" w14:paraId="1DE781E3" w14:textId="77777777" w:rsidTr="00C86136">
              <w:trPr>
                <w:trHeight w:val="219"/>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9DCB36" w14:textId="77777777" w:rsidR="006E02AC" w:rsidRPr="009E0336" w:rsidRDefault="006E02AC" w:rsidP="00C86136">
                  <w:pPr>
                    <w:widowControl/>
                    <w:suppressAutoHyphens w:val="0"/>
                    <w:autoSpaceDN/>
                    <w:spacing w:after="0" w:line="240" w:lineRule="auto"/>
                    <w:jc w:val="right"/>
                    <w:rPr>
                      <w:rFonts w:ascii="Times New Roman" w:eastAsia="Times New Roman" w:hAnsi="Times New Roman" w:cs="Times New Roman"/>
                      <w:b/>
                      <w:bCs/>
                      <w:color w:val="000000"/>
                      <w:kern w:val="0"/>
                      <w:sz w:val="20"/>
                      <w:szCs w:val="20"/>
                      <w:lang w:eastAsia="hr-HR"/>
                    </w:rPr>
                  </w:pPr>
                  <w:r w:rsidRPr="009E0336">
                    <w:rPr>
                      <w:rFonts w:ascii="Times New Roman" w:eastAsia="Times New Roman" w:hAnsi="Times New Roman" w:cs="Times New Roman"/>
                      <w:b/>
                      <w:bCs/>
                      <w:color w:val="000000"/>
                      <w:kern w:val="0"/>
                      <w:sz w:val="20"/>
                      <w:szCs w:val="20"/>
                      <w:lang w:eastAsia="hr-HR"/>
                    </w:rPr>
                    <w:t>162.611,35 €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89D266" w14:textId="77777777" w:rsidR="006E02AC" w:rsidRPr="009E0336" w:rsidRDefault="006E02AC" w:rsidP="00C86136">
                  <w:pPr>
                    <w:widowControl/>
                    <w:suppressAutoHyphens w:val="0"/>
                    <w:autoSpaceDN/>
                    <w:spacing w:after="0" w:line="240" w:lineRule="auto"/>
                    <w:jc w:val="right"/>
                    <w:rPr>
                      <w:rFonts w:ascii="Times New Roman" w:eastAsia="Times New Roman" w:hAnsi="Times New Roman" w:cs="Times New Roman"/>
                      <w:b/>
                      <w:bCs/>
                      <w:color w:val="000000"/>
                      <w:kern w:val="0"/>
                      <w:sz w:val="20"/>
                      <w:szCs w:val="20"/>
                      <w:lang w:eastAsia="hr-HR"/>
                    </w:rPr>
                  </w:pPr>
                  <w:r w:rsidRPr="009E0336">
                    <w:rPr>
                      <w:rFonts w:ascii="Times New Roman" w:eastAsia="Times New Roman" w:hAnsi="Times New Roman" w:cs="Times New Roman"/>
                      <w:b/>
                      <w:bCs/>
                      <w:color w:val="000000"/>
                      <w:kern w:val="0"/>
                      <w:sz w:val="20"/>
                      <w:szCs w:val="20"/>
                      <w:lang w:eastAsia="hr-HR"/>
                    </w:rPr>
                    <w:t>694.000,00 €</w:t>
                  </w:r>
                </w:p>
              </w:tc>
              <w:tc>
                <w:tcPr>
                  <w:tcW w:w="0" w:type="auto"/>
                  <w:tcBorders>
                    <w:top w:val="single" w:sz="4" w:space="0" w:color="auto"/>
                    <w:left w:val="single" w:sz="4" w:space="0" w:color="auto"/>
                    <w:bottom w:val="single" w:sz="4" w:space="0" w:color="auto"/>
                    <w:right w:val="single" w:sz="4" w:space="0" w:color="auto"/>
                  </w:tcBorders>
                </w:tcPr>
                <w:p w14:paraId="04596F98" w14:textId="77777777" w:rsidR="006E02AC" w:rsidRPr="009E0336" w:rsidRDefault="006E02AC" w:rsidP="00C86136">
                  <w:pPr>
                    <w:widowControl/>
                    <w:suppressAutoHyphens w:val="0"/>
                    <w:autoSpaceDN/>
                    <w:spacing w:after="0" w:line="240" w:lineRule="auto"/>
                    <w:jc w:val="right"/>
                    <w:rPr>
                      <w:rFonts w:ascii="Times New Roman" w:eastAsia="Times New Roman" w:hAnsi="Times New Roman" w:cs="Times New Roman"/>
                      <w:b/>
                      <w:bCs/>
                      <w:color w:val="000000"/>
                      <w:kern w:val="0"/>
                      <w:sz w:val="20"/>
                      <w:szCs w:val="20"/>
                      <w:lang w:eastAsia="hr-HR"/>
                    </w:rPr>
                  </w:pPr>
                  <w:r w:rsidRPr="009E0336">
                    <w:rPr>
                      <w:rFonts w:ascii="Times New Roman" w:eastAsia="Times New Roman" w:hAnsi="Times New Roman" w:cs="Times New Roman"/>
                      <w:b/>
                      <w:bCs/>
                      <w:color w:val="000000"/>
                      <w:kern w:val="0"/>
                      <w:sz w:val="20"/>
                      <w:szCs w:val="20"/>
                      <w:lang w:eastAsia="hr-HR"/>
                    </w:rPr>
                    <w:t>413.000,00 €</w:t>
                  </w: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761ADA34" w14:textId="77777777" w:rsidR="006E02AC" w:rsidRPr="009E0336" w:rsidRDefault="006E02AC" w:rsidP="00C86136">
                  <w:pPr>
                    <w:widowControl/>
                    <w:suppressAutoHyphens w:val="0"/>
                    <w:autoSpaceDN/>
                    <w:spacing w:after="0" w:line="240" w:lineRule="auto"/>
                    <w:jc w:val="right"/>
                    <w:rPr>
                      <w:rFonts w:ascii="Times New Roman" w:eastAsia="Times New Roman" w:hAnsi="Times New Roman" w:cs="Times New Roman"/>
                      <w:b/>
                      <w:bCs/>
                      <w:color w:val="000000"/>
                      <w:kern w:val="0"/>
                      <w:sz w:val="20"/>
                      <w:szCs w:val="20"/>
                      <w:lang w:eastAsia="hr-HR"/>
                    </w:rPr>
                  </w:pPr>
                  <w:r w:rsidRPr="009E0336">
                    <w:rPr>
                      <w:rFonts w:ascii="Times New Roman" w:eastAsia="Times New Roman" w:hAnsi="Times New Roman" w:cs="Times New Roman"/>
                      <w:b/>
                      <w:bCs/>
                      <w:color w:val="000000"/>
                      <w:kern w:val="0"/>
                      <w:sz w:val="20"/>
                      <w:szCs w:val="20"/>
                      <w:lang w:eastAsia="hr-HR"/>
                    </w:rPr>
                    <w:t>740.000,00 €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3201BC" w14:textId="77777777" w:rsidR="006E02AC" w:rsidRPr="009E0336" w:rsidRDefault="006E02AC" w:rsidP="00C86136">
                  <w:pPr>
                    <w:widowControl/>
                    <w:suppressAutoHyphens w:val="0"/>
                    <w:autoSpaceDN/>
                    <w:spacing w:after="0" w:line="240" w:lineRule="auto"/>
                    <w:jc w:val="right"/>
                    <w:rPr>
                      <w:rFonts w:ascii="Times New Roman" w:eastAsia="Times New Roman" w:hAnsi="Times New Roman" w:cs="Times New Roman"/>
                      <w:b/>
                      <w:bCs/>
                      <w:color w:val="000000"/>
                      <w:kern w:val="0"/>
                      <w:sz w:val="20"/>
                      <w:szCs w:val="20"/>
                      <w:lang w:eastAsia="hr-HR"/>
                    </w:rPr>
                  </w:pPr>
                  <w:r w:rsidRPr="009E0336">
                    <w:rPr>
                      <w:rFonts w:ascii="Times New Roman" w:eastAsia="Times New Roman" w:hAnsi="Times New Roman" w:cs="Times New Roman"/>
                      <w:b/>
                      <w:bCs/>
                      <w:color w:val="000000"/>
                      <w:kern w:val="0"/>
                      <w:sz w:val="20"/>
                      <w:szCs w:val="20"/>
                      <w:lang w:eastAsia="hr-HR"/>
                    </w:rPr>
                    <w:t>0,00 €</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C798B73" w14:textId="77777777" w:rsidR="006E02AC" w:rsidRPr="009E0336" w:rsidRDefault="006E02AC" w:rsidP="00C86136">
                  <w:pPr>
                    <w:widowControl/>
                    <w:suppressAutoHyphens w:val="0"/>
                    <w:autoSpaceDN/>
                    <w:spacing w:after="0" w:line="240" w:lineRule="auto"/>
                    <w:jc w:val="right"/>
                    <w:rPr>
                      <w:rFonts w:ascii="Times New Roman" w:eastAsia="Times New Roman" w:hAnsi="Times New Roman" w:cs="Times New Roman"/>
                      <w:b/>
                      <w:bCs/>
                      <w:kern w:val="0"/>
                      <w:sz w:val="20"/>
                      <w:szCs w:val="20"/>
                      <w:lang w:eastAsia="hr-HR"/>
                    </w:rPr>
                  </w:pPr>
                  <w:r w:rsidRPr="009E0336">
                    <w:rPr>
                      <w:rFonts w:ascii="Times New Roman" w:eastAsia="Times New Roman" w:hAnsi="Times New Roman" w:cs="Times New Roman"/>
                      <w:b/>
                      <w:bCs/>
                      <w:color w:val="000000"/>
                      <w:kern w:val="0"/>
                      <w:sz w:val="20"/>
                      <w:szCs w:val="20"/>
                      <w:lang w:eastAsia="hr-HR"/>
                    </w:rPr>
                    <w:t>0,00 €</w:t>
                  </w:r>
                </w:p>
              </w:tc>
            </w:tr>
          </w:tbl>
          <w:p w14:paraId="556EA367"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bCs/>
                <w:color w:val="000000"/>
                <w:kern w:val="0"/>
                <w:sz w:val="20"/>
                <w:szCs w:val="20"/>
                <w:lang w:eastAsia="hr-HR"/>
              </w:rPr>
            </w:pPr>
          </w:p>
        </w:tc>
      </w:tr>
      <w:tr w:rsidR="006E02AC" w:rsidRPr="009E0336" w14:paraId="244A2256" w14:textId="77777777" w:rsidTr="006E02AC">
        <w:trPr>
          <w:trHeight w:val="257"/>
        </w:trPr>
        <w:tc>
          <w:tcPr>
            <w:tcW w:w="1852" w:type="dxa"/>
            <w:shd w:val="clear" w:color="auto" w:fill="D9D9D9"/>
          </w:tcPr>
          <w:p w14:paraId="05824000"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b/>
                <w:bCs/>
                <w:color w:val="000000"/>
                <w:kern w:val="0"/>
                <w:sz w:val="20"/>
                <w:szCs w:val="20"/>
                <w:lang w:eastAsia="hr-HR"/>
              </w:rPr>
            </w:pPr>
            <w:r w:rsidRPr="009E0336">
              <w:rPr>
                <w:rFonts w:ascii="Times New Roman" w:eastAsia="Times New Roman" w:hAnsi="Times New Roman" w:cs="Times New Roman"/>
                <w:b/>
                <w:color w:val="000000"/>
                <w:kern w:val="0"/>
                <w:sz w:val="20"/>
                <w:szCs w:val="20"/>
                <w:lang w:eastAsia="hr-HR"/>
              </w:rPr>
              <w:t>Obrazloženja odstupanja od projekcija za 2025. i 2026. usvojenih u prošlogodišnjem Proračunu</w:t>
            </w:r>
          </w:p>
        </w:tc>
        <w:tc>
          <w:tcPr>
            <w:tcW w:w="7550" w:type="dxa"/>
            <w:gridSpan w:val="2"/>
            <w:shd w:val="clear" w:color="auto" w:fill="auto"/>
          </w:tcPr>
          <w:p w14:paraId="70DDE370" w14:textId="77777777" w:rsidR="006E02AC" w:rsidRPr="009E0336" w:rsidRDefault="006E02AC" w:rsidP="00C86136">
            <w:pPr>
              <w:jc w:val="both"/>
              <w:rPr>
                <w:rFonts w:ascii="Times New Roman" w:hAnsi="Times New Roman" w:cs="Times New Roman"/>
                <w:sz w:val="20"/>
                <w:szCs w:val="20"/>
                <w:lang w:eastAsia="ar-SA"/>
              </w:rPr>
            </w:pPr>
            <w:r w:rsidRPr="009E0336">
              <w:rPr>
                <w:rFonts w:ascii="Times New Roman" w:hAnsi="Times New Roman" w:cs="Times New Roman"/>
                <w:sz w:val="20"/>
                <w:szCs w:val="20"/>
                <w:lang w:eastAsia="ar-SA"/>
              </w:rPr>
              <w:t xml:space="preserve">Planirani iznos aktivnosti za 2025.g. je za 108,5% veći od projekcije u prošlogodišnjem planu zbog toga što je u prošlogodišnjem planu očekivano da će skupina od 12 prvostupnika sestrinstva započeti sa specijalističkim usavršavanjem tijekom ljeta 2024.g., a njih 10 početkom 2025.g. Međutim, zbog donošenja nove Mreže hitne medicine i sanitetskog prijevoza (NN 134/2023) te njenog ustrojavanja u 2024.g., Zavod nije bio u mogućnosti uputiti prvostupnike na specijalizaciju kako je planirano u prošlogodišnjim projekcijama. Stoga će ukupan broj od 22 prvostupnika sestrinstva započeti sa specijalizacijom u studenom 2024.g. </w:t>
            </w:r>
          </w:p>
          <w:p w14:paraId="0B6B3CAC" w14:textId="77777777" w:rsidR="006E02AC" w:rsidRPr="009E0336" w:rsidRDefault="006E02AC" w:rsidP="00C86136">
            <w:pPr>
              <w:jc w:val="both"/>
              <w:rPr>
                <w:rFonts w:ascii="Times New Roman" w:hAnsi="Times New Roman" w:cs="Times New Roman"/>
                <w:sz w:val="20"/>
                <w:szCs w:val="20"/>
                <w:lang w:eastAsia="ar-SA"/>
              </w:rPr>
            </w:pPr>
            <w:r w:rsidRPr="009E0336">
              <w:rPr>
                <w:rFonts w:ascii="Times New Roman" w:hAnsi="Times New Roman" w:cs="Times New Roman"/>
                <w:sz w:val="20"/>
                <w:szCs w:val="20"/>
                <w:lang w:eastAsia="ar-SA"/>
              </w:rPr>
              <w:t xml:space="preserve">Također treba uzeti u obzir da su prilikom izrade prošlogodišnjeg plana za 2025.g. bili nepoznati parametri novog izračuna plaća, a koji su definirani početkom 2024.g. Uredbom </w:t>
            </w:r>
            <w:r w:rsidRPr="009E0336">
              <w:rPr>
                <w:rFonts w:ascii="Times New Roman" w:hAnsi="Times New Roman" w:cs="Times New Roman"/>
                <w:bCs/>
                <w:color w:val="000000"/>
                <w:sz w:val="20"/>
                <w:szCs w:val="20"/>
              </w:rPr>
              <w:t xml:space="preserve">o nazivima radnih mjesta, uvjetima za raspored i koeficijentima za obračun plaće u javnim službama (NN 22/2024). </w:t>
            </w:r>
            <w:r w:rsidRPr="009E0336">
              <w:rPr>
                <w:rFonts w:ascii="Times New Roman" w:hAnsi="Times New Roman" w:cs="Times New Roman"/>
                <w:sz w:val="20"/>
                <w:szCs w:val="20"/>
                <w:lang w:eastAsia="ar-SA"/>
              </w:rPr>
              <w:t>Zbog svega navedenog rashodi specijalističkog usavršavanja u 2025.g. će biti znatno veći nego što je prethodno planirano.</w:t>
            </w:r>
          </w:p>
          <w:p w14:paraId="2C034510" w14:textId="77777777" w:rsidR="006E02AC" w:rsidRPr="009E0336" w:rsidRDefault="006E02AC" w:rsidP="00C86136">
            <w:pPr>
              <w:widowControl/>
              <w:suppressAutoHyphens w:val="0"/>
              <w:autoSpaceDN/>
              <w:spacing w:after="0" w:line="240" w:lineRule="auto"/>
              <w:rPr>
                <w:rFonts w:ascii="Times New Roman" w:hAnsi="Times New Roman" w:cs="Times New Roman"/>
                <w:bCs/>
                <w:color w:val="000000"/>
                <w:sz w:val="20"/>
                <w:szCs w:val="20"/>
              </w:rPr>
            </w:pPr>
            <w:r w:rsidRPr="009E0336">
              <w:rPr>
                <w:rFonts w:ascii="Times New Roman" w:hAnsi="Times New Roman" w:cs="Times New Roman"/>
                <w:bCs/>
                <w:color w:val="000000"/>
                <w:sz w:val="20"/>
                <w:szCs w:val="20"/>
              </w:rPr>
              <w:t>Za 2026.g.  nema promjena u odnosu na projekcije jer se očekuje da će sve specijalizacije biti okončane najkasnije do 31.12.2025.g. te se ne planiraju nikakva sredstva u 2026.g.</w:t>
            </w:r>
          </w:p>
          <w:p w14:paraId="147D4198"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bCs/>
                <w:color w:val="000000"/>
                <w:kern w:val="0"/>
                <w:sz w:val="20"/>
                <w:szCs w:val="20"/>
                <w:lang w:eastAsia="hr-HR"/>
              </w:rPr>
            </w:pPr>
          </w:p>
        </w:tc>
      </w:tr>
    </w:tbl>
    <w:p w14:paraId="4B1406F9" w14:textId="77777777" w:rsidR="006E02AC" w:rsidRPr="009E0336" w:rsidRDefault="006E02AC" w:rsidP="006E02AC">
      <w:pPr>
        <w:pStyle w:val="Standard"/>
        <w:rPr>
          <w:sz w:val="20"/>
          <w:szCs w:val="20"/>
        </w:rPr>
      </w:pPr>
    </w:p>
    <w:p w14:paraId="5A5C4E1B" w14:textId="77777777" w:rsidR="006E02AC" w:rsidRPr="009E0336" w:rsidRDefault="006E02AC" w:rsidP="006E02AC">
      <w:pPr>
        <w:pStyle w:val="Standard"/>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777"/>
        <w:gridCol w:w="1106"/>
        <w:gridCol w:w="872"/>
        <w:gridCol w:w="828"/>
        <w:gridCol w:w="809"/>
        <w:gridCol w:w="867"/>
        <w:gridCol w:w="867"/>
      </w:tblGrid>
      <w:tr w:rsidR="006E02AC" w:rsidRPr="009E0336" w14:paraId="0521F122" w14:textId="77777777" w:rsidTr="00C86136">
        <w:trPr>
          <w:trHeight w:val="651"/>
        </w:trPr>
        <w:tc>
          <w:tcPr>
            <w:tcW w:w="0" w:type="auto"/>
            <w:shd w:val="clear" w:color="auto" w:fill="D9D9D9"/>
          </w:tcPr>
          <w:p w14:paraId="222D3EDF"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b/>
                <w:kern w:val="0"/>
                <w:sz w:val="20"/>
                <w:szCs w:val="20"/>
                <w:lang w:eastAsia="hr-HR"/>
              </w:rPr>
            </w:pPr>
            <w:r w:rsidRPr="009E0336">
              <w:rPr>
                <w:rFonts w:ascii="Times New Roman" w:eastAsia="Times New Roman" w:hAnsi="Times New Roman" w:cs="Times New Roman"/>
                <w:b/>
                <w:kern w:val="0"/>
                <w:sz w:val="20"/>
                <w:szCs w:val="20"/>
                <w:lang w:eastAsia="hr-HR"/>
              </w:rPr>
              <w:t>Pokazatelj rezultata</w:t>
            </w:r>
          </w:p>
        </w:tc>
        <w:tc>
          <w:tcPr>
            <w:tcW w:w="0" w:type="auto"/>
            <w:shd w:val="clear" w:color="auto" w:fill="D9D9D9"/>
          </w:tcPr>
          <w:p w14:paraId="3CD1BB6B" w14:textId="77777777" w:rsidR="006E02AC" w:rsidRPr="009E0336" w:rsidRDefault="006E02AC" w:rsidP="00C86136">
            <w:pPr>
              <w:widowControl/>
              <w:suppressAutoHyphens w:val="0"/>
              <w:autoSpaceDN/>
              <w:spacing w:after="0" w:line="240" w:lineRule="auto"/>
              <w:jc w:val="center"/>
              <w:rPr>
                <w:rFonts w:ascii="Times New Roman" w:eastAsia="Times New Roman" w:hAnsi="Times New Roman" w:cs="Times New Roman"/>
                <w:b/>
                <w:kern w:val="0"/>
                <w:sz w:val="20"/>
                <w:szCs w:val="20"/>
                <w:lang w:eastAsia="hr-HR"/>
              </w:rPr>
            </w:pPr>
            <w:r w:rsidRPr="009E0336">
              <w:rPr>
                <w:rFonts w:ascii="Times New Roman" w:eastAsia="Times New Roman" w:hAnsi="Times New Roman" w:cs="Times New Roman"/>
                <w:b/>
                <w:kern w:val="0"/>
                <w:sz w:val="20"/>
                <w:szCs w:val="20"/>
                <w:lang w:eastAsia="hr-HR"/>
              </w:rPr>
              <w:t>Definicija</w:t>
            </w:r>
          </w:p>
        </w:tc>
        <w:tc>
          <w:tcPr>
            <w:tcW w:w="0" w:type="auto"/>
            <w:shd w:val="clear" w:color="auto" w:fill="D9D9D9"/>
          </w:tcPr>
          <w:p w14:paraId="550FB982" w14:textId="77777777" w:rsidR="006E02AC" w:rsidRPr="009E0336" w:rsidRDefault="006E02AC" w:rsidP="00C86136">
            <w:pPr>
              <w:widowControl/>
              <w:suppressAutoHyphens w:val="0"/>
              <w:autoSpaceDN/>
              <w:spacing w:after="0" w:line="240" w:lineRule="auto"/>
              <w:jc w:val="center"/>
              <w:rPr>
                <w:rFonts w:ascii="Times New Roman" w:eastAsia="Times New Roman" w:hAnsi="Times New Roman" w:cs="Times New Roman"/>
                <w:b/>
                <w:kern w:val="0"/>
                <w:sz w:val="20"/>
                <w:szCs w:val="20"/>
                <w:lang w:eastAsia="hr-HR"/>
              </w:rPr>
            </w:pPr>
            <w:r w:rsidRPr="009E0336">
              <w:rPr>
                <w:rFonts w:ascii="Times New Roman" w:eastAsia="Times New Roman" w:hAnsi="Times New Roman" w:cs="Times New Roman"/>
                <w:b/>
                <w:kern w:val="0"/>
                <w:sz w:val="20"/>
                <w:szCs w:val="20"/>
                <w:lang w:eastAsia="hr-HR"/>
              </w:rPr>
              <w:t>Jedinica</w:t>
            </w:r>
          </w:p>
        </w:tc>
        <w:tc>
          <w:tcPr>
            <w:tcW w:w="0" w:type="auto"/>
            <w:shd w:val="clear" w:color="auto" w:fill="D9D9D9"/>
          </w:tcPr>
          <w:p w14:paraId="574C8E8F" w14:textId="77777777" w:rsidR="006E02AC" w:rsidRPr="009E0336" w:rsidRDefault="006E02AC" w:rsidP="00C86136">
            <w:pPr>
              <w:widowControl/>
              <w:suppressAutoHyphens w:val="0"/>
              <w:autoSpaceDN/>
              <w:spacing w:after="0" w:line="240" w:lineRule="auto"/>
              <w:jc w:val="center"/>
              <w:rPr>
                <w:rFonts w:ascii="Times New Roman" w:eastAsia="Times New Roman" w:hAnsi="Times New Roman" w:cs="Times New Roman"/>
                <w:b/>
                <w:kern w:val="0"/>
                <w:sz w:val="20"/>
                <w:szCs w:val="20"/>
                <w:lang w:eastAsia="hr-HR"/>
              </w:rPr>
            </w:pPr>
            <w:r w:rsidRPr="009E0336">
              <w:rPr>
                <w:rFonts w:ascii="Times New Roman" w:eastAsia="Times New Roman" w:hAnsi="Times New Roman" w:cs="Times New Roman"/>
                <w:b/>
                <w:kern w:val="0"/>
                <w:sz w:val="20"/>
                <w:szCs w:val="20"/>
                <w:lang w:eastAsia="hr-HR"/>
              </w:rPr>
              <w:t>Polazna vrijednost 2024.</w:t>
            </w:r>
          </w:p>
        </w:tc>
        <w:tc>
          <w:tcPr>
            <w:tcW w:w="828" w:type="dxa"/>
            <w:shd w:val="clear" w:color="auto" w:fill="D9D9D9"/>
          </w:tcPr>
          <w:p w14:paraId="2F05F817" w14:textId="77777777" w:rsidR="006E02AC" w:rsidRPr="009E0336" w:rsidRDefault="006E02AC" w:rsidP="00C86136">
            <w:pPr>
              <w:widowControl/>
              <w:suppressAutoHyphens w:val="0"/>
              <w:autoSpaceDN/>
              <w:spacing w:after="0" w:line="240" w:lineRule="auto"/>
              <w:jc w:val="center"/>
              <w:rPr>
                <w:rFonts w:ascii="Times New Roman" w:eastAsia="Times New Roman" w:hAnsi="Times New Roman" w:cs="Times New Roman"/>
                <w:b/>
                <w:kern w:val="0"/>
                <w:sz w:val="20"/>
                <w:szCs w:val="20"/>
                <w:lang w:eastAsia="hr-HR"/>
              </w:rPr>
            </w:pPr>
            <w:r w:rsidRPr="009E0336">
              <w:rPr>
                <w:rFonts w:ascii="Times New Roman" w:eastAsia="Times New Roman" w:hAnsi="Times New Roman" w:cs="Times New Roman"/>
                <w:b/>
                <w:kern w:val="0"/>
                <w:sz w:val="20"/>
                <w:szCs w:val="20"/>
                <w:lang w:eastAsia="hr-HR"/>
              </w:rPr>
              <w:t>Izvor podataka</w:t>
            </w:r>
          </w:p>
        </w:tc>
        <w:tc>
          <w:tcPr>
            <w:tcW w:w="809" w:type="dxa"/>
            <w:shd w:val="clear" w:color="auto" w:fill="D9D9D9"/>
          </w:tcPr>
          <w:p w14:paraId="130B52AA" w14:textId="77777777" w:rsidR="006E02AC" w:rsidRPr="009E0336" w:rsidRDefault="006E02AC" w:rsidP="00C86136">
            <w:pPr>
              <w:widowControl/>
              <w:suppressAutoHyphens w:val="0"/>
              <w:autoSpaceDN/>
              <w:spacing w:after="0" w:line="240" w:lineRule="auto"/>
              <w:jc w:val="center"/>
              <w:rPr>
                <w:rFonts w:ascii="Times New Roman" w:eastAsia="Times New Roman" w:hAnsi="Times New Roman" w:cs="Times New Roman"/>
                <w:b/>
                <w:kern w:val="0"/>
                <w:sz w:val="20"/>
                <w:szCs w:val="20"/>
                <w:lang w:eastAsia="hr-HR"/>
              </w:rPr>
            </w:pPr>
            <w:r w:rsidRPr="009E0336">
              <w:rPr>
                <w:rFonts w:ascii="Times New Roman" w:eastAsia="Times New Roman" w:hAnsi="Times New Roman" w:cs="Times New Roman"/>
                <w:b/>
                <w:kern w:val="0"/>
                <w:sz w:val="20"/>
                <w:szCs w:val="20"/>
                <w:lang w:eastAsia="hr-HR"/>
              </w:rPr>
              <w:t>Ciljana vrijednost 2025.</w:t>
            </w:r>
          </w:p>
        </w:tc>
        <w:tc>
          <w:tcPr>
            <w:tcW w:w="0" w:type="auto"/>
            <w:shd w:val="clear" w:color="auto" w:fill="D9D9D9"/>
          </w:tcPr>
          <w:p w14:paraId="346F0219" w14:textId="77777777" w:rsidR="006E02AC" w:rsidRPr="009E0336" w:rsidRDefault="006E02AC" w:rsidP="00C86136">
            <w:pPr>
              <w:widowControl/>
              <w:suppressAutoHyphens w:val="0"/>
              <w:autoSpaceDN/>
              <w:spacing w:after="0" w:line="240" w:lineRule="auto"/>
              <w:jc w:val="center"/>
              <w:rPr>
                <w:rFonts w:ascii="Times New Roman" w:eastAsia="Times New Roman" w:hAnsi="Times New Roman" w:cs="Times New Roman"/>
                <w:b/>
                <w:kern w:val="0"/>
                <w:sz w:val="20"/>
                <w:szCs w:val="20"/>
                <w:lang w:eastAsia="hr-HR"/>
              </w:rPr>
            </w:pPr>
            <w:r w:rsidRPr="009E0336">
              <w:rPr>
                <w:rFonts w:ascii="Times New Roman" w:eastAsia="Times New Roman" w:hAnsi="Times New Roman" w:cs="Times New Roman"/>
                <w:b/>
                <w:kern w:val="0"/>
                <w:sz w:val="20"/>
                <w:szCs w:val="20"/>
                <w:lang w:eastAsia="hr-HR"/>
              </w:rPr>
              <w:t>Ciljana vrijednost 2026.</w:t>
            </w:r>
          </w:p>
        </w:tc>
        <w:tc>
          <w:tcPr>
            <w:tcW w:w="0" w:type="auto"/>
            <w:shd w:val="clear" w:color="auto" w:fill="D9D9D9"/>
          </w:tcPr>
          <w:p w14:paraId="21B057B8" w14:textId="77777777" w:rsidR="006E02AC" w:rsidRPr="009E0336" w:rsidRDefault="006E02AC" w:rsidP="00C86136">
            <w:pPr>
              <w:widowControl/>
              <w:suppressAutoHyphens w:val="0"/>
              <w:autoSpaceDN/>
              <w:spacing w:after="0" w:line="240" w:lineRule="auto"/>
              <w:jc w:val="center"/>
              <w:rPr>
                <w:rFonts w:ascii="Times New Roman" w:eastAsia="Times New Roman" w:hAnsi="Times New Roman" w:cs="Times New Roman"/>
                <w:b/>
                <w:kern w:val="0"/>
                <w:sz w:val="20"/>
                <w:szCs w:val="20"/>
                <w:lang w:eastAsia="hr-HR"/>
              </w:rPr>
            </w:pPr>
            <w:r w:rsidRPr="009E0336">
              <w:rPr>
                <w:rFonts w:ascii="Times New Roman" w:eastAsia="Times New Roman" w:hAnsi="Times New Roman" w:cs="Times New Roman"/>
                <w:b/>
                <w:kern w:val="0"/>
                <w:sz w:val="20"/>
                <w:szCs w:val="20"/>
                <w:lang w:eastAsia="hr-HR"/>
              </w:rPr>
              <w:t>Ciljana vrijednost 2027.</w:t>
            </w:r>
          </w:p>
        </w:tc>
      </w:tr>
      <w:tr w:rsidR="006E02AC" w:rsidRPr="009E0336" w14:paraId="1C43CE4E" w14:textId="77777777" w:rsidTr="00C86136">
        <w:trPr>
          <w:trHeight w:val="219"/>
        </w:trPr>
        <w:tc>
          <w:tcPr>
            <w:tcW w:w="0" w:type="auto"/>
            <w:shd w:val="clear" w:color="auto" w:fill="auto"/>
          </w:tcPr>
          <w:p w14:paraId="022C5D2D"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kern w:val="0"/>
                <w:sz w:val="20"/>
                <w:szCs w:val="20"/>
                <w:lang w:eastAsia="hr-HR"/>
              </w:rPr>
            </w:pPr>
            <w:r w:rsidRPr="009E0336">
              <w:rPr>
                <w:rFonts w:ascii="Times New Roman" w:eastAsia="Times New Roman" w:hAnsi="Times New Roman" w:cs="Times New Roman"/>
                <w:kern w:val="0"/>
                <w:sz w:val="20"/>
                <w:szCs w:val="20"/>
                <w:lang w:eastAsia="hr-HR"/>
              </w:rPr>
              <w:t xml:space="preserve">Povećanje broja prvostupnika sestrinstva specijalista hitne medicine </w:t>
            </w:r>
          </w:p>
        </w:tc>
        <w:tc>
          <w:tcPr>
            <w:tcW w:w="0" w:type="auto"/>
            <w:shd w:val="clear" w:color="auto" w:fill="auto"/>
          </w:tcPr>
          <w:p w14:paraId="7AFF472F"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kern w:val="0"/>
                <w:sz w:val="20"/>
                <w:szCs w:val="20"/>
                <w:lang w:eastAsia="hr-HR"/>
              </w:rPr>
            </w:pPr>
            <w:r w:rsidRPr="009E0336">
              <w:rPr>
                <w:rFonts w:ascii="Times New Roman" w:eastAsia="Times New Roman" w:hAnsi="Times New Roman" w:cs="Times New Roman"/>
                <w:kern w:val="0"/>
                <w:sz w:val="20"/>
                <w:szCs w:val="20"/>
                <w:lang w:eastAsia="hr-HR"/>
              </w:rPr>
              <w:t>Specijalizacijom prvostupnika sestrinstva u djelatnosti hitne medicine izravno se doprinosi većem broju medicinskih stručnjaka i boljoj pokrivenosti zdravstvenim uslugama te kvalitetnijoj usluzi hitne medicine</w:t>
            </w:r>
          </w:p>
        </w:tc>
        <w:tc>
          <w:tcPr>
            <w:tcW w:w="0" w:type="auto"/>
          </w:tcPr>
          <w:p w14:paraId="2E5ACCFD"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kern w:val="0"/>
                <w:sz w:val="20"/>
                <w:szCs w:val="20"/>
                <w:lang w:eastAsia="hr-HR"/>
              </w:rPr>
            </w:pPr>
            <w:r w:rsidRPr="009E0336">
              <w:rPr>
                <w:rFonts w:ascii="Times New Roman" w:eastAsia="Times New Roman" w:hAnsi="Times New Roman" w:cs="Times New Roman"/>
                <w:kern w:val="0"/>
                <w:sz w:val="20"/>
                <w:szCs w:val="20"/>
                <w:lang w:eastAsia="hr-HR"/>
              </w:rPr>
              <w:t>Broj prvostupnika sestrinstva  specijalista  hitne medicine</w:t>
            </w:r>
          </w:p>
        </w:tc>
        <w:tc>
          <w:tcPr>
            <w:tcW w:w="0" w:type="auto"/>
            <w:shd w:val="clear" w:color="auto" w:fill="auto"/>
          </w:tcPr>
          <w:p w14:paraId="6C76DA80"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kern w:val="0"/>
                <w:sz w:val="20"/>
                <w:szCs w:val="20"/>
                <w:lang w:eastAsia="hr-HR"/>
              </w:rPr>
            </w:pPr>
            <w:r w:rsidRPr="009E0336">
              <w:rPr>
                <w:rFonts w:ascii="Times New Roman" w:eastAsia="Times New Roman" w:hAnsi="Times New Roman" w:cs="Times New Roman"/>
                <w:kern w:val="0"/>
                <w:sz w:val="20"/>
                <w:szCs w:val="20"/>
                <w:lang w:eastAsia="hr-HR"/>
              </w:rPr>
              <w:t xml:space="preserve">     13</w:t>
            </w:r>
          </w:p>
        </w:tc>
        <w:tc>
          <w:tcPr>
            <w:tcW w:w="828" w:type="dxa"/>
          </w:tcPr>
          <w:p w14:paraId="26A9637A"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kern w:val="0"/>
                <w:sz w:val="20"/>
                <w:szCs w:val="20"/>
                <w:lang w:eastAsia="hr-HR"/>
              </w:rPr>
            </w:pPr>
            <w:r w:rsidRPr="009E0336">
              <w:rPr>
                <w:rFonts w:ascii="Times New Roman" w:eastAsia="Times New Roman" w:hAnsi="Times New Roman" w:cs="Times New Roman"/>
                <w:kern w:val="0"/>
                <w:sz w:val="20"/>
                <w:szCs w:val="20"/>
                <w:lang w:eastAsia="hr-HR"/>
              </w:rPr>
              <w:t>Zavod</w:t>
            </w:r>
          </w:p>
        </w:tc>
        <w:tc>
          <w:tcPr>
            <w:tcW w:w="809" w:type="dxa"/>
            <w:shd w:val="clear" w:color="auto" w:fill="auto"/>
          </w:tcPr>
          <w:p w14:paraId="4B5A0647"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kern w:val="0"/>
                <w:sz w:val="20"/>
                <w:szCs w:val="20"/>
                <w:lang w:eastAsia="hr-HR"/>
              </w:rPr>
            </w:pPr>
            <w:r w:rsidRPr="009E0336">
              <w:rPr>
                <w:rFonts w:ascii="Times New Roman" w:eastAsia="Times New Roman" w:hAnsi="Times New Roman" w:cs="Times New Roman"/>
                <w:kern w:val="0"/>
                <w:sz w:val="20"/>
                <w:szCs w:val="20"/>
                <w:lang w:eastAsia="hr-HR"/>
              </w:rPr>
              <w:t xml:space="preserve">     35</w:t>
            </w:r>
          </w:p>
        </w:tc>
        <w:tc>
          <w:tcPr>
            <w:tcW w:w="0" w:type="auto"/>
            <w:shd w:val="clear" w:color="auto" w:fill="auto"/>
          </w:tcPr>
          <w:p w14:paraId="57AFAC28"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kern w:val="0"/>
                <w:sz w:val="20"/>
                <w:szCs w:val="20"/>
                <w:lang w:eastAsia="hr-HR"/>
              </w:rPr>
            </w:pPr>
            <w:r w:rsidRPr="009E0336">
              <w:rPr>
                <w:rFonts w:ascii="Times New Roman" w:eastAsia="Times New Roman" w:hAnsi="Times New Roman" w:cs="Times New Roman"/>
                <w:kern w:val="0"/>
                <w:sz w:val="20"/>
                <w:szCs w:val="20"/>
                <w:lang w:eastAsia="hr-HR"/>
              </w:rPr>
              <w:t xml:space="preserve">     35</w:t>
            </w:r>
          </w:p>
        </w:tc>
        <w:tc>
          <w:tcPr>
            <w:tcW w:w="0" w:type="auto"/>
            <w:shd w:val="clear" w:color="auto" w:fill="auto"/>
          </w:tcPr>
          <w:p w14:paraId="096C569F" w14:textId="77777777" w:rsidR="006E02AC" w:rsidRPr="009E0336" w:rsidRDefault="006E02AC" w:rsidP="00C86136">
            <w:pPr>
              <w:widowControl/>
              <w:suppressAutoHyphens w:val="0"/>
              <w:autoSpaceDN/>
              <w:spacing w:after="0" w:line="240" w:lineRule="auto"/>
              <w:rPr>
                <w:rFonts w:ascii="Times New Roman" w:eastAsia="Times New Roman" w:hAnsi="Times New Roman" w:cs="Times New Roman"/>
                <w:kern w:val="0"/>
                <w:sz w:val="20"/>
                <w:szCs w:val="20"/>
                <w:lang w:eastAsia="hr-HR"/>
              </w:rPr>
            </w:pPr>
            <w:r w:rsidRPr="009E0336">
              <w:rPr>
                <w:rFonts w:ascii="Times New Roman" w:eastAsia="Times New Roman" w:hAnsi="Times New Roman" w:cs="Times New Roman"/>
                <w:kern w:val="0"/>
                <w:sz w:val="20"/>
                <w:szCs w:val="20"/>
                <w:lang w:eastAsia="hr-HR"/>
              </w:rPr>
              <w:t xml:space="preserve">     35</w:t>
            </w:r>
          </w:p>
        </w:tc>
      </w:tr>
    </w:tbl>
    <w:p w14:paraId="704E572E" w14:textId="77777777" w:rsidR="006E02AC" w:rsidRPr="009E0336" w:rsidRDefault="006E02AC" w:rsidP="006E02AC">
      <w:pPr>
        <w:pStyle w:val="Standard"/>
        <w:rPr>
          <w:sz w:val="20"/>
          <w:szCs w:val="20"/>
        </w:rPr>
      </w:pPr>
    </w:p>
    <w:p w14:paraId="393BEC3D" w14:textId="52AE88FA" w:rsidR="00D9709A" w:rsidRPr="009E0336" w:rsidRDefault="00D9709A">
      <w:pPr>
        <w:pStyle w:val="Standard"/>
        <w:rPr>
          <w:sz w:val="20"/>
          <w:szCs w:val="20"/>
        </w:rPr>
      </w:pPr>
    </w:p>
    <w:p w14:paraId="4A7DD45C" w14:textId="77777777" w:rsidR="008F06F1" w:rsidRPr="009E0336" w:rsidRDefault="008F06F1">
      <w:pPr>
        <w:pStyle w:val="Standard"/>
        <w:rPr>
          <w:sz w:val="20"/>
          <w:szCs w:val="20"/>
        </w:rPr>
      </w:pPr>
    </w:p>
    <w:p w14:paraId="0F58C089" w14:textId="42C6FE00" w:rsidR="00E510CC" w:rsidRPr="009E0336" w:rsidRDefault="00C263E3" w:rsidP="00A87F46">
      <w:pPr>
        <w:pStyle w:val="Standard"/>
        <w:ind w:left="6372"/>
        <w:rPr>
          <w:sz w:val="20"/>
          <w:szCs w:val="20"/>
        </w:rPr>
      </w:pPr>
      <w:r w:rsidRPr="009E0336">
        <w:rPr>
          <w:sz w:val="20"/>
          <w:szCs w:val="20"/>
        </w:rPr>
        <w:t>Predsjednica Upravnog vijeća</w:t>
      </w:r>
      <w:r w:rsidR="00A87F46" w:rsidRPr="009E0336">
        <w:rPr>
          <w:sz w:val="20"/>
          <w:szCs w:val="20"/>
        </w:rPr>
        <w:t>:</w:t>
      </w:r>
    </w:p>
    <w:p w14:paraId="2E6D16B6" w14:textId="77777777" w:rsidR="00C263E3" w:rsidRPr="009E0336" w:rsidRDefault="00C263E3" w:rsidP="00A87F46">
      <w:pPr>
        <w:pStyle w:val="Standard"/>
        <w:ind w:left="6372"/>
        <w:rPr>
          <w:sz w:val="20"/>
          <w:szCs w:val="20"/>
        </w:rPr>
      </w:pPr>
    </w:p>
    <w:p w14:paraId="591A56B3" w14:textId="7B11FEBF" w:rsidR="00A87F46" w:rsidRPr="009E0336" w:rsidRDefault="00C263E3" w:rsidP="00A87F46">
      <w:pPr>
        <w:pStyle w:val="Standard"/>
        <w:ind w:left="6372"/>
        <w:rPr>
          <w:sz w:val="20"/>
          <w:szCs w:val="20"/>
        </w:rPr>
      </w:pPr>
      <w:r w:rsidRPr="009E0336">
        <w:rPr>
          <w:sz w:val="20"/>
          <w:szCs w:val="20"/>
        </w:rPr>
        <w:t>Anita Bikić</w:t>
      </w:r>
      <w:r w:rsidR="00A87F46" w:rsidRPr="009E0336">
        <w:rPr>
          <w:sz w:val="20"/>
          <w:szCs w:val="20"/>
        </w:rPr>
        <w:t xml:space="preserve">, </w:t>
      </w:r>
      <w:proofErr w:type="spellStart"/>
      <w:r w:rsidRPr="009E0336">
        <w:rPr>
          <w:sz w:val="20"/>
          <w:szCs w:val="20"/>
        </w:rPr>
        <w:t>mag.med.techn</w:t>
      </w:r>
      <w:proofErr w:type="spellEnd"/>
      <w:r w:rsidRPr="009E0336">
        <w:rPr>
          <w:sz w:val="20"/>
          <w:szCs w:val="20"/>
        </w:rPr>
        <w:t>.</w:t>
      </w:r>
    </w:p>
    <w:sectPr w:rsidR="00A87F46" w:rsidRPr="009E0336" w:rsidSect="002753F3">
      <w:headerReference w:type="default" r:id="rId8"/>
      <w:footerReference w:type="default" r:id="rId9"/>
      <w:pgSz w:w="11906" w:h="16838" w:code="9"/>
      <w:pgMar w:top="1418" w:right="1247" w:bottom="1134" w:left="1247"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202CB" w14:textId="77777777" w:rsidR="00EF0895" w:rsidRDefault="00EF0895">
      <w:pPr>
        <w:spacing w:after="0" w:line="240" w:lineRule="auto"/>
      </w:pPr>
      <w:r>
        <w:separator/>
      </w:r>
    </w:p>
  </w:endnote>
  <w:endnote w:type="continuationSeparator" w:id="0">
    <w:p w14:paraId="45A37E1C" w14:textId="77777777" w:rsidR="00EF0895" w:rsidRDefault="00EF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default"/>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945512"/>
      <w:docPartObj>
        <w:docPartGallery w:val="Page Numbers (Bottom of Page)"/>
        <w:docPartUnique/>
      </w:docPartObj>
    </w:sdtPr>
    <w:sdtEndPr/>
    <w:sdtContent>
      <w:p w14:paraId="3E40163D" w14:textId="0C9F9E42" w:rsidR="00403092" w:rsidRDefault="00403092">
        <w:pPr>
          <w:pStyle w:val="Podnoje"/>
        </w:pPr>
        <w:r>
          <w:rPr>
            <w:noProof/>
          </w:rPr>
          <mc:AlternateContent>
            <mc:Choice Requires="wps">
              <w:drawing>
                <wp:anchor distT="0" distB="0" distL="114300" distR="114300" simplePos="0" relativeHeight="251659264" behindDoc="0" locked="0" layoutInCell="1" allowOverlap="1" wp14:anchorId="35CA1DB5" wp14:editId="32DA76FC">
                  <wp:simplePos x="0" y="0"/>
                  <wp:positionH relativeFrom="rightMargin">
                    <wp:align>center</wp:align>
                  </wp:positionH>
                  <wp:positionV relativeFrom="bottomMargin">
                    <wp:align>center</wp:align>
                  </wp:positionV>
                  <wp:extent cx="565785" cy="191770"/>
                  <wp:effectExtent l="0" t="0" r="0" b="0"/>
                  <wp:wrapNone/>
                  <wp:docPr id="1142833592"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5E28943" w14:textId="77777777" w:rsidR="00403092" w:rsidRDefault="00403092">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5CA1DB5" id="Pravokutni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25E28943" w14:textId="77777777" w:rsidR="00403092" w:rsidRDefault="00403092">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D6C2E" w14:textId="77777777" w:rsidR="00EF0895" w:rsidRDefault="00EF0895">
      <w:pPr>
        <w:spacing w:after="0" w:line="240" w:lineRule="auto"/>
      </w:pPr>
      <w:r>
        <w:rPr>
          <w:color w:val="000000"/>
        </w:rPr>
        <w:separator/>
      </w:r>
    </w:p>
  </w:footnote>
  <w:footnote w:type="continuationSeparator" w:id="0">
    <w:p w14:paraId="0259CB38" w14:textId="77777777" w:rsidR="00EF0895" w:rsidRDefault="00EF0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3C68" w14:textId="526F1BA2" w:rsidR="00403092" w:rsidRPr="00403092" w:rsidRDefault="00403092" w:rsidP="00403092">
    <w:pPr>
      <w:pStyle w:val="Zaglavlje"/>
      <w:pBdr>
        <w:bottom w:val="single" w:sz="4" w:space="1" w:color="auto"/>
      </w:pBdr>
      <w:rPr>
        <w:sz w:val="16"/>
        <w:szCs w:val="16"/>
      </w:rPr>
    </w:pPr>
    <w:r w:rsidRPr="00403092">
      <w:rPr>
        <w:sz w:val="16"/>
        <w:szCs w:val="16"/>
      </w:rPr>
      <w:t>ZAVOD ZA HITNU MEDICINU SPLITSKO-DALMATINSKE ŽUPANIJE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2BAE"/>
    <w:multiLevelType w:val="multilevel"/>
    <w:tmpl w:val="B9BE24F2"/>
    <w:styleLink w:val="WWNum7"/>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 w15:restartNumberingAfterBreak="0">
    <w:nsid w:val="098D14FB"/>
    <w:multiLevelType w:val="hybridMultilevel"/>
    <w:tmpl w:val="E2DC9E8A"/>
    <w:lvl w:ilvl="0" w:tplc="751E649A">
      <w:start w:val="1"/>
      <w:numFmt w:val="upperRoman"/>
      <w:lvlText w:val="%1."/>
      <w:lvlJc w:val="left"/>
      <w:pPr>
        <w:ind w:left="5565" w:hanging="720"/>
      </w:pPr>
      <w:rPr>
        <w:rFonts w:hint="default"/>
      </w:rPr>
    </w:lvl>
    <w:lvl w:ilvl="1" w:tplc="041A0019" w:tentative="1">
      <w:start w:val="1"/>
      <w:numFmt w:val="lowerLetter"/>
      <w:lvlText w:val="%2."/>
      <w:lvlJc w:val="left"/>
      <w:pPr>
        <w:ind w:left="5925" w:hanging="360"/>
      </w:pPr>
    </w:lvl>
    <w:lvl w:ilvl="2" w:tplc="041A001B" w:tentative="1">
      <w:start w:val="1"/>
      <w:numFmt w:val="lowerRoman"/>
      <w:lvlText w:val="%3."/>
      <w:lvlJc w:val="right"/>
      <w:pPr>
        <w:ind w:left="6645" w:hanging="180"/>
      </w:pPr>
    </w:lvl>
    <w:lvl w:ilvl="3" w:tplc="041A000F" w:tentative="1">
      <w:start w:val="1"/>
      <w:numFmt w:val="decimal"/>
      <w:lvlText w:val="%4."/>
      <w:lvlJc w:val="left"/>
      <w:pPr>
        <w:ind w:left="7365" w:hanging="360"/>
      </w:pPr>
    </w:lvl>
    <w:lvl w:ilvl="4" w:tplc="041A0019" w:tentative="1">
      <w:start w:val="1"/>
      <w:numFmt w:val="lowerLetter"/>
      <w:lvlText w:val="%5."/>
      <w:lvlJc w:val="left"/>
      <w:pPr>
        <w:ind w:left="8085" w:hanging="360"/>
      </w:pPr>
    </w:lvl>
    <w:lvl w:ilvl="5" w:tplc="041A001B" w:tentative="1">
      <w:start w:val="1"/>
      <w:numFmt w:val="lowerRoman"/>
      <w:lvlText w:val="%6."/>
      <w:lvlJc w:val="right"/>
      <w:pPr>
        <w:ind w:left="8805" w:hanging="180"/>
      </w:pPr>
    </w:lvl>
    <w:lvl w:ilvl="6" w:tplc="041A000F" w:tentative="1">
      <w:start w:val="1"/>
      <w:numFmt w:val="decimal"/>
      <w:lvlText w:val="%7."/>
      <w:lvlJc w:val="left"/>
      <w:pPr>
        <w:ind w:left="9525" w:hanging="360"/>
      </w:pPr>
    </w:lvl>
    <w:lvl w:ilvl="7" w:tplc="041A0019" w:tentative="1">
      <w:start w:val="1"/>
      <w:numFmt w:val="lowerLetter"/>
      <w:lvlText w:val="%8."/>
      <w:lvlJc w:val="left"/>
      <w:pPr>
        <w:ind w:left="10245" w:hanging="360"/>
      </w:pPr>
    </w:lvl>
    <w:lvl w:ilvl="8" w:tplc="041A001B" w:tentative="1">
      <w:start w:val="1"/>
      <w:numFmt w:val="lowerRoman"/>
      <w:lvlText w:val="%9."/>
      <w:lvlJc w:val="right"/>
      <w:pPr>
        <w:ind w:left="10965" w:hanging="180"/>
      </w:pPr>
    </w:lvl>
  </w:abstractNum>
  <w:abstractNum w:abstractNumId="2" w15:restartNumberingAfterBreak="0">
    <w:nsid w:val="09C61A60"/>
    <w:multiLevelType w:val="multilevel"/>
    <w:tmpl w:val="21D0857E"/>
    <w:lvl w:ilvl="0">
      <w:numFmt w:val="bullet"/>
      <w:lvlText w:val="-"/>
      <w:lvlJc w:val="left"/>
      <w:pPr>
        <w:ind w:left="420" w:hanging="360"/>
      </w:pPr>
      <w:rPr>
        <w:rFonts w:ascii="Times New Roman" w:hAnsi="Times New Roman" w:cs="Times New Roman"/>
        <w:color w:val="000000"/>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B502795"/>
    <w:multiLevelType w:val="hybridMultilevel"/>
    <w:tmpl w:val="03A04B1E"/>
    <w:lvl w:ilvl="0" w:tplc="680AB074">
      <w:start w:val="1"/>
      <w:numFmt w:val="lowerRoman"/>
      <w:lvlText w:val="%1."/>
      <w:lvlJc w:val="left"/>
      <w:pPr>
        <w:ind w:left="4845" w:hanging="720"/>
      </w:pPr>
      <w:rPr>
        <w:rFonts w:hint="default"/>
      </w:rPr>
    </w:lvl>
    <w:lvl w:ilvl="1" w:tplc="041A0019" w:tentative="1">
      <w:start w:val="1"/>
      <w:numFmt w:val="lowerLetter"/>
      <w:lvlText w:val="%2."/>
      <w:lvlJc w:val="left"/>
      <w:pPr>
        <w:ind w:left="5205" w:hanging="360"/>
      </w:pPr>
    </w:lvl>
    <w:lvl w:ilvl="2" w:tplc="041A001B" w:tentative="1">
      <w:start w:val="1"/>
      <w:numFmt w:val="lowerRoman"/>
      <w:lvlText w:val="%3."/>
      <w:lvlJc w:val="right"/>
      <w:pPr>
        <w:ind w:left="5925" w:hanging="180"/>
      </w:pPr>
    </w:lvl>
    <w:lvl w:ilvl="3" w:tplc="041A000F" w:tentative="1">
      <w:start w:val="1"/>
      <w:numFmt w:val="decimal"/>
      <w:lvlText w:val="%4."/>
      <w:lvlJc w:val="left"/>
      <w:pPr>
        <w:ind w:left="6645" w:hanging="360"/>
      </w:pPr>
    </w:lvl>
    <w:lvl w:ilvl="4" w:tplc="041A0019" w:tentative="1">
      <w:start w:val="1"/>
      <w:numFmt w:val="lowerLetter"/>
      <w:lvlText w:val="%5."/>
      <w:lvlJc w:val="left"/>
      <w:pPr>
        <w:ind w:left="7365" w:hanging="360"/>
      </w:pPr>
    </w:lvl>
    <w:lvl w:ilvl="5" w:tplc="041A001B" w:tentative="1">
      <w:start w:val="1"/>
      <w:numFmt w:val="lowerRoman"/>
      <w:lvlText w:val="%6."/>
      <w:lvlJc w:val="right"/>
      <w:pPr>
        <w:ind w:left="8085" w:hanging="180"/>
      </w:pPr>
    </w:lvl>
    <w:lvl w:ilvl="6" w:tplc="041A000F" w:tentative="1">
      <w:start w:val="1"/>
      <w:numFmt w:val="decimal"/>
      <w:lvlText w:val="%7."/>
      <w:lvlJc w:val="left"/>
      <w:pPr>
        <w:ind w:left="8805" w:hanging="360"/>
      </w:pPr>
    </w:lvl>
    <w:lvl w:ilvl="7" w:tplc="041A0019" w:tentative="1">
      <w:start w:val="1"/>
      <w:numFmt w:val="lowerLetter"/>
      <w:lvlText w:val="%8."/>
      <w:lvlJc w:val="left"/>
      <w:pPr>
        <w:ind w:left="9525" w:hanging="360"/>
      </w:pPr>
    </w:lvl>
    <w:lvl w:ilvl="8" w:tplc="041A001B" w:tentative="1">
      <w:start w:val="1"/>
      <w:numFmt w:val="lowerRoman"/>
      <w:lvlText w:val="%9."/>
      <w:lvlJc w:val="right"/>
      <w:pPr>
        <w:ind w:left="10245" w:hanging="180"/>
      </w:pPr>
    </w:lvl>
  </w:abstractNum>
  <w:abstractNum w:abstractNumId="4" w15:restartNumberingAfterBreak="0">
    <w:nsid w:val="1D6C7706"/>
    <w:multiLevelType w:val="multilevel"/>
    <w:tmpl w:val="EE421C9A"/>
    <w:styleLink w:val="WWNum10"/>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5" w15:restartNumberingAfterBreak="0">
    <w:nsid w:val="1EA97BF5"/>
    <w:multiLevelType w:val="hybridMultilevel"/>
    <w:tmpl w:val="7D1074EA"/>
    <w:lvl w:ilvl="0" w:tplc="AD1A364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FA95B27"/>
    <w:multiLevelType w:val="hybridMultilevel"/>
    <w:tmpl w:val="5EC4FA0E"/>
    <w:lvl w:ilvl="0" w:tplc="041A0001">
      <w:start w:val="73"/>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B25456"/>
    <w:multiLevelType w:val="multilevel"/>
    <w:tmpl w:val="65BE9CAE"/>
    <w:lvl w:ilvl="0">
      <w:numFmt w:val="bullet"/>
      <w:lvlText w:val="-"/>
      <w:lvlJc w:val="left"/>
      <w:pPr>
        <w:ind w:left="420" w:hanging="360"/>
      </w:pPr>
      <w:rPr>
        <w:rFonts w:ascii="Times New Roman" w:hAnsi="Times New Roman" w:cs="Times New Roman"/>
        <w:color w:val="000000"/>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8620159"/>
    <w:multiLevelType w:val="multilevel"/>
    <w:tmpl w:val="CFDE2D80"/>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B10454F"/>
    <w:multiLevelType w:val="multilevel"/>
    <w:tmpl w:val="5E820E86"/>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48ED703A"/>
    <w:multiLevelType w:val="multilevel"/>
    <w:tmpl w:val="4CE8E45C"/>
    <w:styleLink w:val="WWNum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493E06F4"/>
    <w:multiLevelType w:val="multilevel"/>
    <w:tmpl w:val="C7908C8A"/>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4CF92A7C"/>
    <w:multiLevelType w:val="multilevel"/>
    <w:tmpl w:val="44B0A0BC"/>
    <w:styleLink w:val="WWNum4"/>
    <w:lvl w:ilvl="0">
      <w:start w:val="1"/>
      <w:numFmt w:val="decimal"/>
      <w:lvlText w:val="%1."/>
      <w:lvlJc w:val="left"/>
      <w:pPr>
        <w:ind w:left="1778"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5F3E127E"/>
    <w:multiLevelType w:val="multilevel"/>
    <w:tmpl w:val="44166E48"/>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14" w15:restartNumberingAfterBreak="0">
    <w:nsid w:val="64A67C5B"/>
    <w:multiLevelType w:val="multilevel"/>
    <w:tmpl w:val="077A471A"/>
    <w:lvl w:ilvl="0">
      <w:numFmt w:val="bullet"/>
      <w:lvlText w:val="-"/>
      <w:lvlJc w:val="left"/>
      <w:pPr>
        <w:ind w:left="720" w:hanging="360"/>
      </w:pPr>
      <w:rPr>
        <w:rFonts w:ascii="Times New Roman" w:eastAsia="Times New Roman" w:hAnsi="Times New Roman" w:cs="Times New Roman"/>
        <w:color w:val="auto"/>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635530E"/>
    <w:multiLevelType w:val="multilevel"/>
    <w:tmpl w:val="2864ED1C"/>
    <w:styleLink w:val="WWNum9"/>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6" w15:restartNumberingAfterBreak="0">
    <w:nsid w:val="6A516F4F"/>
    <w:multiLevelType w:val="multilevel"/>
    <w:tmpl w:val="152EECBC"/>
    <w:styleLink w:val="WWNum3"/>
    <w:lvl w:ilvl="0">
      <w:numFmt w:val="bullet"/>
      <w:lvlText w:val=""/>
      <w:lvlJc w:val="left"/>
      <w:pPr>
        <w:ind w:left="720" w:hanging="360"/>
      </w:pPr>
    </w:lvl>
    <w:lvl w:ilvl="1">
      <w:numFmt w:val="bullet"/>
      <w:lvlText w:val=""/>
      <w:lvlJc w:val="left"/>
      <w:pPr>
        <w:ind w:left="786"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7" w15:restartNumberingAfterBreak="0">
    <w:nsid w:val="71884BBF"/>
    <w:multiLevelType w:val="multilevel"/>
    <w:tmpl w:val="4F526438"/>
    <w:styleLink w:val="WWNum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8" w15:restartNumberingAfterBreak="0">
    <w:nsid w:val="78E40C30"/>
    <w:multiLevelType w:val="multilevel"/>
    <w:tmpl w:val="87EE5AFC"/>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num w:numId="1" w16cid:durableId="429859459">
    <w:abstractNumId w:val="10"/>
  </w:num>
  <w:num w:numId="2" w16cid:durableId="1834175401">
    <w:abstractNumId w:val="8"/>
  </w:num>
  <w:num w:numId="3" w16cid:durableId="1344015755">
    <w:abstractNumId w:val="16"/>
  </w:num>
  <w:num w:numId="4" w16cid:durableId="1588996676">
    <w:abstractNumId w:val="12"/>
  </w:num>
  <w:num w:numId="5" w16cid:durableId="960846138">
    <w:abstractNumId w:val="9"/>
  </w:num>
  <w:num w:numId="6" w16cid:durableId="148637339">
    <w:abstractNumId w:val="11"/>
  </w:num>
  <w:num w:numId="7" w16cid:durableId="1643272217">
    <w:abstractNumId w:val="0"/>
  </w:num>
  <w:num w:numId="8" w16cid:durableId="207104762">
    <w:abstractNumId w:val="17"/>
  </w:num>
  <w:num w:numId="9" w16cid:durableId="133374828">
    <w:abstractNumId w:val="15"/>
  </w:num>
  <w:num w:numId="10" w16cid:durableId="1324814616">
    <w:abstractNumId w:val="4"/>
  </w:num>
  <w:num w:numId="11" w16cid:durableId="1666981456">
    <w:abstractNumId w:val="2"/>
  </w:num>
  <w:num w:numId="12" w16cid:durableId="407730284">
    <w:abstractNumId w:val="7"/>
  </w:num>
  <w:num w:numId="13" w16cid:durableId="715277611">
    <w:abstractNumId w:val="13"/>
  </w:num>
  <w:num w:numId="14" w16cid:durableId="1893730202">
    <w:abstractNumId w:val="18"/>
  </w:num>
  <w:num w:numId="15" w16cid:durableId="102700516">
    <w:abstractNumId w:val="14"/>
  </w:num>
  <w:num w:numId="16" w16cid:durableId="3364834">
    <w:abstractNumId w:val="3"/>
  </w:num>
  <w:num w:numId="17" w16cid:durableId="417749716">
    <w:abstractNumId w:val="1"/>
  </w:num>
  <w:num w:numId="18" w16cid:durableId="2106152907">
    <w:abstractNumId w:val="5"/>
  </w:num>
  <w:num w:numId="19" w16cid:durableId="11065336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BF1"/>
    <w:rsid w:val="0000140B"/>
    <w:rsid w:val="00011D33"/>
    <w:rsid w:val="00016EFD"/>
    <w:rsid w:val="00016F69"/>
    <w:rsid w:val="00022585"/>
    <w:rsid w:val="00022BCA"/>
    <w:rsid w:val="000342EB"/>
    <w:rsid w:val="00035A70"/>
    <w:rsid w:val="0004019E"/>
    <w:rsid w:val="00041C62"/>
    <w:rsid w:val="000522F4"/>
    <w:rsid w:val="0005369B"/>
    <w:rsid w:val="00060383"/>
    <w:rsid w:val="00060E73"/>
    <w:rsid w:val="00060F86"/>
    <w:rsid w:val="000621DA"/>
    <w:rsid w:val="000714FC"/>
    <w:rsid w:val="00074B1D"/>
    <w:rsid w:val="00083DDD"/>
    <w:rsid w:val="00085EFD"/>
    <w:rsid w:val="0009043B"/>
    <w:rsid w:val="00091387"/>
    <w:rsid w:val="00093E32"/>
    <w:rsid w:val="000B2E1A"/>
    <w:rsid w:val="000C1952"/>
    <w:rsid w:val="000F1CCB"/>
    <w:rsid w:val="0010241D"/>
    <w:rsid w:val="00102742"/>
    <w:rsid w:val="00103D7E"/>
    <w:rsid w:val="00114158"/>
    <w:rsid w:val="0013768A"/>
    <w:rsid w:val="00143282"/>
    <w:rsid w:val="0014550C"/>
    <w:rsid w:val="00147947"/>
    <w:rsid w:val="00162E75"/>
    <w:rsid w:val="00165A64"/>
    <w:rsid w:val="00171DE3"/>
    <w:rsid w:val="00172759"/>
    <w:rsid w:val="0019181E"/>
    <w:rsid w:val="001A373F"/>
    <w:rsid w:val="001A75E9"/>
    <w:rsid w:val="001B2352"/>
    <w:rsid w:val="001B65FA"/>
    <w:rsid w:val="001C2789"/>
    <w:rsid w:val="001D2B99"/>
    <w:rsid w:val="001D78E0"/>
    <w:rsid w:val="001E49B4"/>
    <w:rsid w:val="001F3EAC"/>
    <w:rsid w:val="002113AC"/>
    <w:rsid w:val="002213D4"/>
    <w:rsid w:val="00222B68"/>
    <w:rsid w:val="00231EE6"/>
    <w:rsid w:val="00235E5B"/>
    <w:rsid w:val="00246283"/>
    <w:rsid w:val="00250D8B"/>
    <w:rsid w:val="0026160F"/>
    <w:rsid w:val="0026448D"/>
    <w:rsid w:val="00265936"/>
    <w:rsid w:val="00273874"/>
    <w:rsid w:val="002753F3"/>
    <w:rsid w:val="002828FE"/>
    <w:rsid w:val="002A214A"/>
    <w:rsid w:val="002C3A05"/>
    <w:rsid w:val="002C3AD3"/>
    <w:rsid w:val="00300855"/>
    <w:rsid w:val="003073C2"/>
    <w:rsid w:val="00311549"/>
    <w:rsid w:val="00320521"/>
    <w:rsid w:val="00320AF2"/>
    <w:rsid w:val="003218EC"/>
    <w:rsid w:val="00323F44"/>
    <w:rsid w:val="00324715"/>
    <w:rsid w:val="00326B63"/>
    <w:rsid w:val="00327AE9"/>
    <w:rsid w:val="00334B37"/>
    <w:rsid w:val="0034592B"/>
    <w:rsid w:val="003706A3"/>
    <w:rsid w:val="00394622"/>
    <w:rsid w:val="003C1456"/>
    <w:rsid w:val="003C1D10"/>
    <w:rsid w:val="003C39A8"/>
    <w:rsid w:val="003C691A"/>
    <w:rsid w:val="003D6EE5"/>
    <w:rsid w:val="003E1F73"/>
    <w:rsid w:val="003F1C1B"/>
    <w:rsid w:val="003F2D9D"/>
    <w:rsid w:val="003F705E"/>
    <w:rsid w:val="00403092"/>
    <w:rsid w:val="00404EE0"/>
    <w:rsid w:val="00404F20"/>
    <w:rsid w:val="00405C8C"/>
    <w:rsid w:val="0040799A"/>
    <w:rsid w:val="0041156D"/>
    <w:rsid w:val="00412691"/>
    <w:rsid w:val="00414653"/>
    <w:rsid w:val="00417843"/>
    <w:rsid w:val="004331AB"/>
    <w:rsid w:val="0043750A"/>
    <w:rsid w:val="004407AA"/>
    <w:rsid w:val="004432C6"/>
    <w:rsid w:val="004436BC"/>
    <w:rsid w:val="0045781F"/>
    <w:rsid w:val="00460E19"/>
    <w:rsid w:val="004719ED"/>
    <w:rsid w:val="004738A8"/>
    <w:rsid w:val="0047623B"/>
    <w:rsid w:val="00487224"/>
    <w:rsid w:val="0048778D"/>
    <w:rsid w:val="004910C1"/>
    <w:rsid w:val="00497486"/>
    <w:rsid w:val="004A20AD"/>
    <w:rsid w:val="004C4794"/>
    <w:rsid w:val="004D22C2"/>
    <w:rsid w:val="004E58BB"/>
    <w:rsid w:val="004F2E49"/>
    <w:rsid w:val="004F7840"/>
    <w:rsid w:val="004F7D4B"/>
    <w:rsid w:val="0050152F"/>
    <w:rsid w:val="00502E82"/>
    <w:rsid w:val="00512AC9"/>
    <w:rsid w:val="005132C5"/>
    <w:rsid w:val="00513651"/>
    <w:rsid w:val="00526F26"/>
    <w:rsid w:val="00530DEF"/>
    <w:rsid w:val="00562B75"/>
    <w:rsid w:val="005675EB"/>
    <w:rsid w:val="00572DD5"/>
    <w:rsid w:val="005747F4"/>
    <w:rsid w:val="005B2C7E"/>
    <w:rsid w:val="005C50C3"/>
    <w:rsid w:val="005D1BB4"/>
    <w:rsid w:val="005D263F"/>
    <w:rsid w:val="005D4EDB"/>
    <w:rsid w:val="005D7065"/>
    <w:rsid w:val="005E27EF"/>
    <w:rsid w:val="005F7A5C"/>
    <w:rsid w:val="006142DC"/>
    <w:rsid w:val="00625DC9"/>
    <w:rsid w:val="00627A27"/>
    <w:rsid w:val="006339DA"/>
    <w:rsid w:val="00637E67"/>
    <w:rsid w:val="00642872"/>
    <w:rsid w:val="00646E5C"/>
    <w:rsid w:val="00650497"/>
    <w:rsid w:val="0066007E"/>
    <w:rsid w:val="00671668"/>
    <w:rsid w:val="006738FD"/>
    <w:rsid w:val="00677D04"/>
    <w:rsid w:val="006829A3"/>
    <w:rsid w:val="006853C0"/>
    <w:rsid w:val="00690C52"/>
    <w:rsid w:val="006944F8"/>
    <w:rsid w:val="006B18CB"/>
    <w:rsid w:val="006D1994"/>
    <w:rsid w:val="006D47BF"/>
    <w:rsid w:val="006E02AC"/>
    <w:rsid w:val="00702A1E"/>
    <w:rsid w:val="00704F6C"/>
    <w:rsid w:val="007077C9"/>
    <w:rsid w:val="00711EA7"/>
    <w:rsid w:val="00712A4A"/>
    <w:rsid w:val="00723E5D"/>
    <w:rsid w:val="007371FF"/>
    <w:rsid w:val="00737F0D"/>
    <w:rsid w:val="0074131A"/>
    <w:rsid w:val="0074574F"/>
    <w:rsid w:val="00755097"/>
    <w:rsid w:val="00771C95"/>
    <w:rsid w:val="00775E47"/>
    <w:rsid w:val="00787DD7"/>
    <w:rsid w:val="007A262E"/>
    <w:rsid w:val="007B0FC8"/>
    <w:rsid w:val="007C053E"/>
    <w:rsid w:val="007C1645"/>
    <w:rsid w:val="007C6E27"/>
    <w:rsid w:val="007C6F2E"/>
    <w:rsid w:val="007D36F8"/>
    <w:rsid w:val="007D57D7"/>
    <w:rsid w:val="007D6C16"/>
    <w:rsid w:val="007E28A5"/>
    <w:rsid w:val="007E7AAD"/>
    <w:rsid w:val="007F4FB2"/>
    <w:rsid w:val="007F71B0"/>
    <w:rsid w:val="007F782D"/>
    <w:rsid w:val="00801305"/>
    <w:rsid w:val="0081768B"/>
    <w:rsid w:val="00820317"/>
    <w:rsid w:val="00820E7E"/>
    <w:rsid w:val="00823D47"/>
    <w:rsid w:val="00825002"/>
    <w:rsid w:val="00825318"/>
    <w:rsid w:val="008265D7"/>
    <w:rsid w:val="00833D29"/>
    <w:rsid w:val="00833F34"/>
    <w:rsid w:val="008406D6"/>
    <w:rsid w:val="00845C4C"/>
    <w:rsid w:val="0084620E"/>
    <w:rsid w:val="00847316"/>
    <w:rsid w:val="00864FCC"/>
    <w:rsid w:val="00881CF9"/>
    <w:rsid w:val="008827AC"/>
    <w:rsid w:val="008B655D"/>
    <w:rsid w:val="008C70CE"/>
    <w:rsid w:val="008C7A43"/>
    <w:rsid w:val="008D24BC"/>
    <w:rsid w:val="008E7AB2"/>
    <w:rsid w:val="008F06F1"/>
    <w:rsid w:val="009003F6"/>
    <w:rsid w:val="0091054B"/>
    <w:rsid w:val="00912FA8"/>
    <w:rsid w:val="00915DC4"/>
    <w:rsid w:val="00936375"/>
    <w:rsid w:val="00937404"/>
    <w:rsid w:val="00946903"/>
    <w:rsid w:val="009524F5"/>
    <w:rsid w:val="009546CE"/>
    <w:rsid w:val="00960275"/>
    <w:rsid w:val="00985E1B"/>
    <w:rsid w:val="00986312"/>
    <w:rsid w:val="009B0955"/>
    <w:rsid w:val="009B22EA"/>
    <w:rsid w:val="009B6021"/>
    <w:rsid w:val="009C370A"/>
    <w:rsid w:val="009C3736"/>
    <w:rsid w:val="009C5B61"/>
    <w:rsid w:val="009C74F0"/>
    <w:rsid w:val="009C7627"/>
    <w:rsid w:val="009D075F"/>
    <w:rsid w:val="009D178B"/>
    <w:rsid w:val="009E0336"/>
    <w:rsid w:val="009E0BAE"/>
    <w:rsid w:val="009E14B8"/>
    <w:rsid w:val="009E2552"/>
    <w:rsid w:val="009F4167"/>
    <w:rsid w:val="00A12099"/>
    <w:rsid w:val="00A14D5E"/>
    <w:rsid w:val="00A307FB"/>
    <w:rsid w:val="00A32476"/>
    <w:rsid w:val="00A37721"/>
    <w:rsid w:val="00A43490"/>
    <w:rsid w:val="00A55CC0"/>
    <w:rsid w:val="00A55FC0"/>
    <w:rsid w:val="00A5694C"/>
    <w:rsid w:val="00A56AD1"/>
    <w:rsid w:val="00A66977"/>
    <w:rsid w:val="00A67B9D"/>
    <w:rsid w:val="00A71E50"/>
    <w:rsid w:val="00A744DD"/>
    <w:rsid w:val="00A84517"/>
    <w:rsid w:val="00A87F46"/>
    <w:rsid w:val="00A90E2C"/>
    <w:rsid w:val="00A9761E"/>
    <w:rsid w:val="00AA4C7E"/>
    <w:rsid w:val="00AA6E92"/>
    <w:rsid w:val="00AB2826"/>
    <w:rsid w:val="00AB3CB4"/>
    <w:rsid w:val="00AC0006"/>
    <w:rsid w:val="00AC1C42"/>
    <w:rsid w:val="00AE09D7"/>
    <w:rsid w:val="00AF75A7"/>
    <w:rsid w:val="00B0391B"/>
    <w:rsid w:val="00B0624C"/>
    <w:rsid w:val="00B0775D"/>
    <w:rsid w:val="00B10E5E"/>
    <w:rsid w:val="00B1622B"/>
    <w:rsid w:val="00B16632"/>
    <w:rsid w:val="00B17978"/>
    <w:rsid w:val="00B21F09"/>
    <w:rsid w:val="00B24952"/>
    <w:rsid w:val="00B26451"/>
    <w:rsid w:val="00B35BC8"/>
    <w:rsid w:val="00B65FCA"/>
    <w:rsid w:val="00B72274"/>
    <w:rsid w:val="00B83EC8"/>
    <w:rsid w:val="00B86CF7"/>
    <w:rsid w:val="00BA0995"/>
    <w:rsid w:val="00BB0D5A"/>
    <w:rsid w:val="00BB2E44"/>
    <w:rsid w:val="00BB7642"/>
    <w:rsid w:val="00BB7B30"/>
    <w:rsid w:val="00BC2804"/>
    <w:rsid w:val="00BD28A4"/>
    <w:rsid w:val="00BD6693"/>
    <w:rsid w:val="00BE46A8"/>
    <w:rsid w:val="00BE46DB"/>
    <w:rsid w:val="00BE6F1D"/>
    <w:rsid w:val="00BF004A"/>
    <w:rsid w:val="00C0360A"/>
    <w:rsid w:val="00C10509"/>
    <w:rsid w:val="00C1054E"/>
    <w:rsid w:val="00C1375C"/>
    <w:rsid w:val="00C162C1"/>
    <w:rsid w:val="00C16DFE"/>
    <w:rsid w:val="00C224E8"/>
    <w:rsid w:val="00C263E3"/>
    <w:rsid w:val="00C27E5D"/>
    <w:rsid w:val="00C302A9"/>
    <w:rsid w:val="00C31B31"/>
    <w:rsid w:val="00C31F1E"/>
    <w:rsid w:val="00C332DF"/>
    <w:rsid w:val="00C37BA0"/>
    <w:rsid w:val="00C478BB"/>
    <w:rsid w:val="00C5692C"/>
    <w:rsid w:val="00C60761"/>
    <w:rsid w:val="00C65D76"/>
    <w:rsid w:val="00C674A7"/>
    <w:rsid w:val="00C7684C"/>
    <w:rsid w:val="00C87DA7"/>
    <w:rsid w:val="00C9075B"/>
    <w:rsid w:val="00C9110F"/>
    <w:rsid w:val="00C97AA2"/>
    <w:rsid w:val="00C97F9A"/>
    <w:rsid w:val="00CA75B2"/>
    <w:rsid w:val="00CB047D"/>
    <w:rsid w:val="00CB38CE"/>
    <w:rsid w:val="00CB5981"/>
    <w:rsid w:val="00CC2790"/>
    <w:rsid w:val="00CC4F54"/>
    <w:rsid w:val="00CD0DE9"/>
    <w:rsid w:val="00CE40A2"/>
    <w:rsid w:val="00CF143A"/>
    <w:rsid w:val="00CF62A4"/>
    <w:rsid w:val="00CF6EA3"/>
    <w:rsid w:val="00D00F86"/>
    <w:rsid w:val="00D0156B"/>
    <w:rsid w:val="00D17B36"/>
    <w:rsid w:val="00D208D3"/>
    <w:rsid w:val="00D210E6"/>
    <w:rsid w:val="00D32176"/>
    <w:rsid w:val="00D476F2"/>
    <w:rsid w:val="00D5057C"/>
    <w:rsid w:val="00D515F2"/>
    <w:rsid w:val="00D65883"/>
    <w:rsid w:val="00D65ED3"/>
    <w:rsid w:val="00D71F92"/>
    <w:rsid w:val="00D727B6"/>
    <w:rsid w:val="00D7296E"/>
    <w:rsid w:val="00D756CF"/>
    <w:rsid w:val="00D75D48"/>
    <w:rsid w:val="00D8149C"/>
    <w:rsid w:val="00D8325A"/>
    <w:rsid w:val="00D84FC3"/>
    <w:rsid w:val="00D95955"/>
    <w:rsid w:val="00D9709A"/>
    <w:rsid w:val="00DA425C"/>
    <w:rsid w:val="00DB6013"/>
    <w:rsid w:val="00DC5FED"/>
    <w:rsid w:val="00DD5518"/>
    <w:rsid w:val="00DD5BAA"/>
    <w:rsid w:val="00DE1003"/>
    <w:rsid w:val="00E27980"/>
    <w:rsid w:val="00E4241C"/>
    <w:rsid w:val="00E47500"/>
    <w:rsid w:val="00E510CC"/>
    <w:rsid w:val="00E53632"/>
    <w:rsid w:val="00E53982"/>
    <w:rsid w:val="00E60C7B"/>
    <w:rsid w:val="00E64F47"/>
    <w:rsid w:val="00E717C5"/>
    <w:rsid w:val="00E76181"/>
    <w:rsid w:val="00E8012D"/>
    <w:rsid w:val="00E8016C"/>
    <w:rsid w:val="00E80C32"/>
    <w:rsid w:val="00E85EA9"/>
    <w:rsid w:val="00E92615"/>
    <w:rsid w:val="00E92E79"/>
    <w:rsid w:val="00E9660F"/>
    <w:rsid w:val="00E97468"/>
    <w:rsid w:val="00EB69F7"/>
    <w:rsid w:val="00ED36BB"/>
    <w:rsid w:val="00EE0F6C"/>
    <w:rsid w:val="00EE752E"/>
    <w:rsid w:val="00EF0895"/>
    <w:rsid w:val="00EF4FAC"/>
    <w:rsid w:val="00EF6DB3"/>
    <w:rsid w:val="00F0042B"/>
    <w:rsid w:val="00F02B64"/>
    <w:rsid w:val="00F05CCE"/>
    <w:rsid w:val="00F0678A"/>
    <w:rsid w:val="00F07F52"/>
    <w:rsid w:val="00F112E5"/>
    <w:rsid w:val="00F12BCA"/>
    <w:rsid w:val="00F37CA0"/>
    <w:rsid w:val="00F44D02"/>
    <w:rsid w:val="00F5591B"/>
    <w:rsid w:val="00F61CC1"/>
    <w:rsid w:val="00F71097"/>
    <w:rsid w:val="00F714A4"/>
    <w:rsid w:val="00F8016C"/>
    <w:rsid w:val="00F815A1"/>
    <w:rsid w:val="00F825E4"/>
    <w:rsid w:val="00F82EFD"/>
    <w:rsid w:val="00F862D4"/>
    <w:rsid w:val="00F90C9D"/>
    <w:rsid w:val="00F96BDA"/>
    <w:rsid w:val="00FA03DA"/>
    <w:rsid w:val="00FA112D"/>
    <w:rsid w:val="00FA5E54"/>
    <w:rsid w:val="00FA6BF1"/>
    <w:rsid w:val="00FA7F56"/>
    <w:rsid w:val="00FB1800"/>
    <w:rsid w:val="00FB5230"/>
    <w:rsid w:val="00FB6E25"/>
    <w:rsid w:val="00FB7FE2"/>
    <w:rsid w:val="00FC34A2"/>
    <w:rsid w:val="00FC3B84"/>
    <w:rsid w:val="00FC67A2"/>
    <w:rsid w:val="00FD5E8D"/>
    <w:rsid w:val="00FE471D"/>
    <w:rsid w:val="00FF0072"/>
    <w:rsid w:val="00FF27B1"/>
    <w:rsid w:val="00FF50C5"/>
    <w:rsid w:val="00FF68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3F439"/>
  <w15:docId w15:val="{4F316029-7528-4B51-BCAA-2636B85C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hr-HR"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textAlignment w:val="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pPr>
      <w:widowControl/>
      <w:suppressAutoHyphens/>
      <w:spacing w:after="0" w:line="240" w:lineRule="auto"/>
    </w:pPr>
    <w:rPr>
      <w:rFonts w:ascii="Times New Roman" w:eastAsia="Times New Roman" w:hAnsi="Times New Roman" w:cs="Times New Roman"/>
      <w:sz w:val="24"/>
      <w:szCs w:val="24"/>
      <w:lang w:eastAsia="hr-HR"/>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Popis">
    <w:name w:val="List"/>
    <w:basedOn w:val="Textbody"/>
    <w:rPr>
      <w:rFonts w:cs="Lucida Sans"/>
    </w:rPr>
  </w:style>
  <w:style w:type="paragraph" w:styleId="Opisslike">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Podnoje">
    <w:name w:val="footer"/>
    <w:basedOn w:val="Standard"/>
    <w:uiPriority w:val="99"/>
    <w:pPr>
      <w:suppressLineNumbers/>
      <w:tabs>
        <w:tab w:val="center" w:pos="4536"/>
        <w:tab w:val="right" w:pos="9072"/>
      </w:tabs>
    </w:pPr>
  </w:style>
  <w:style w:type="paragraph" w:styleId="Odlomakpopisa">
    <w:name w:val="List Paragraph"/>
    <w:basedOn w:val="Standard"/>
    <w:pPr>
      <w:spacing w:after="160" w:line="244" w:lineRule="auto"/>
      <w:ind w:left="720"/>
    </w:pPr>
    <w:rPr>
      <w:rFonts w:ascii="Calibri" w:hAnsi="Calibri" w:cs="F"/>
      <w:sz w:val="22"/>
      <w:szCs w:val="22"/>
      <w:lang w:eastAsia="en-US"/>
    </w:rPr>
  </w:style>
  <w:style w:type="paragraph" w:styleId="Zaglavlje">
    <w:name w:val="header"/>
    <w:basedOn w:val="Standard"/>
    <w:pPr>
      <w:suppressLineNumbers/>
      <w:tabs>
        <w:tab w:val="center" w:pos="4536"/>
        <w:tab w:val="right" w:pos="9072"/>
      </w:tabs>
    </w:pPr>
  </w:style>
  <w:style w:type="paragraph" w:styleId="Tekstbalonia">
    <w:name w:val="Balloon Text"/>
    <w:basedOn w:val="Standard"/>
    <w:rPr>
      <w:rFonts w:ascii="Segoe UI" w:hAnsi="Segoe UI" w:cs="Segoe UI"/>
      <w:sz w:val="18"/>
      <w:szCs w:val="18"/>
    </w:rPr>
  </w:style>
  <w:style w:type="character" w:customStyle="1" w:styleId="PodnojeChar">
    <w:name w:val="Podnožje Char"/>
    <w:basedOn w:val="Zadanifontodlomka"/>
    <w:uiPriority w:val="99"/>
    <w:rPr>
      <w:rFonts w:ascii="Times New Roman" w:eastAsia="Times New Roman" w:hAnsi="Times New Roman" w:cs="Times New Roman"/>
      <w:sz w:val="24"/>
      <w:szCs w:val="24"/>
      <w:lang w:eastAsia="hr-HR"/>
    </w:rPr>
  </w:style>
  <w:style w:type="character" w:customStyle="1" w:styleId="ZaglavljeChar">
    <w:name w:val="Zaglavlje Char"/>
    <w:basedOn w:val="Zadanifontodlomka"/>
    <w:rPr>
      <w:rFonts w:ascii="Times New Roman" w:eastAsia="Times New Roman" w:hAnsi="Times New Roman" w:cs="Times New Roman"/>
      <w:sz w:val="24"/>
      <w:szCs w:val="24"/>
      <w:lang w:eastAsia="hr-HR"/>
    </w:rPr>
  </w:style>
  <w:style w:type="character" w:styleId="Referencakomentara">
    <w:name w:val="annotation reference"/>
    <w:basedOn w:val="Zadanifontodlomka"/>
    <w:rPr>
      <w:sz w:val="16"/>
      <w:szCs w:val="16"/>
    </w:rPr>
  </w:style>
  <w:style w:type="character" w:customStyle="1" w:styleId="Internetlink">
    <w:name w:val="Internet link"/>
    <w:basedOn w:val="Zadanifontodlomka"/>
    <w:rPr>
      <w:color w:val="0000FF"/>
      <w:u w:val="single"/>
    </w:rPr>
  </w:style>
  <w:style w:type="character" w:customStyle="1" w:styleId="TekstbaloniaChar">
    <w:name w:val="Tekst balončića Char"/>
    <w:basedOn w:val="Zadanifontodlomka"/>
    <w:rPr>
      <w:rFonts w:ascii="Segoe UI" w:eastAsia="Times New Roman" w:hAnsi="Segoe UI" w:cs="Segoe UI"/>
      <w:sz w:val="18"/>
      <w:szCs w:val="18"/>
      <w:lang w:eastAsia="hr-HR"/>
    </w:rPr>
  </w:style>
  <w:style w:type="character" w:styleId="SlijeenaHiperveza">
    <w:name w:val="FollowedHyperlink"/>
    <w:basedOn w:val="Zadanifontodlomka"/>
    <w:rPr>
      <w:color w:val="800080"/>
      <w:u w:val="single"/>
    </w:rPr>
  </w:style>
  <w:style w:type="character" w:customStyle="1" w:styleId="ListLabel1">
    <w:name w:val="ListLabel 1"/>
    <w:rPr>
      <w:b/>
      <w:bCs/>
    </w:rPr>
  </w:style>
  <w:style w:type="character" w:customStyle="1" w:styleId="ListLabel2">
    <w:name w:val="ListLabel 2"/>
    <w:rPr>
      <w:rFonts w:cs="Courier New"/>
    </w:rPr>
  </w:style>
  <w:style w:type="paragraph" w:customStyle="1" w:styleId="TableContents">
    <w:name w:val="Table Contents"/>
    <w:basedOn w:val="Normal"/>
    <w:pPr>
      <w:widowControl/>
      <w:suppressLineNumbers/>
      <w:spacing w:after="0" w:line="240" w:lineRule="auto"/>
    </w:pPr>
    <w:rPr>
      <w:rFonts w:ascii="Times New Roman" w:eastAsia="Times New Roman" w:hAnsi="Times New Roman" w:cs="Times New Roman"/>
      <w:kern w:val="0"/>
      <w:sz w:val="24"/>
      <w:szCs w:val="24"/>
      <w:lang w:eastAsia="ar-SA"/>
    </w:rPr>
  </w:style>
  <w:style w:type="numbering" w:customStyle="1" w:styleId="WWNum1">
    <w:name w:val="WWNum1"/>
    <w:basedOn w:val="Bezpopisa"/>
    <w:pPr>
      <w:numPr>
        <w:numId w:val="1"/>
      </w:numPr>
    </w:pPr>
  </w:style>
  <w:style w:type="numbering" w:customStyle="1" w:styleId="WWNum2">
    <w:name w:val="WWNum2"/>
    <w:basedOn w:val="Bezpopisa"/>
    <w:pPr>
      <w:numPr>
        <w:numId w:val="2"/>
      </w:numPr>
    </w:pPr>
  </w:style>
  <w:style w:type="numbering" w:customStyle="1" w:styleId="WWNum3">
    <w:name w:val="WWNum3"/>
    <w:basedOn w:val="Bezpopisa"/>
    <w:pPr>
      <w:numPr>
        <w:numId w:val="3"/>
      </w:numPr>
    </w:pPr>
  </w:style>
  <w:style w:type="numbering" w:customStyle="1" w:styleId="WWNum4">
    <w:name w:val="WWNum4"/>
    <w:basedOn w:val="Bezpopisa"/>
    <w:pPr>
      <w:numPr>
        <w:numId w:val="4"/>
      </w:numPr>
    </w:pPr>
  </w:style>
  <w:style w:type="numbering" w:customStyle="1" w:styleId="WWNum5">
    <w:name w:val="WWNum5"/>
    <w:basedOn w:val="Bezpopisa"/>
    <w:pPr>
      <w:numPr>
        <w:numId w:val="5"/>
      </w:numPr>
    </w:pPr>
  </w:style>
  <w:style w:type="numbering" w:customStyle="1" w:styleId="WWNum6">
    <w:name w:val="WWNum6"/>
    <w:basedOn w:val="Bezpopisa"/>
    <w:pPr>
      <w:numPr>
        <w:numId w:val="6"/>
      </w:numPr>
    </w:pPr>
  </w:style>
  <w:style w:type="numbering" w:customStyle="1" w:styleId="WWNum7">
    <w:name w:val="WWNum7"/>
    <w:basedOn w:val="Bezpopisa"/>
    <w:pPr>
      <w:numPr>
        <w:numId w:val="7"/>
      </w:numPr>
    </w:pPr>
  </w:style>
  <w:style w:type="numbering" w:customStyle="1" w:styleId="WWNum8">
    <w:name w:val="WWNum8"/>
    <w:basedOn w:val="Bezpopisa"/>
    <w:pPr>
      <w:numPr>
        <w:numId w:val="8"/>
      </w:numPr>
    </w:pPr>
  </w:style>
  <w:style w:type="numbering" w:customStyle="1" w:styleId="WWNum9">
    <w:name w:val="WWNum9"/>
    <w:basedOn w:val="Bezpopisa"/>
    <w:pPr>
      <w:numPr>
        <w:numId w:val="9"/>
      </w:numPr>
    </w:pPr>
  </w:style>
  <w:style w:type="numbering" w:customStyle="1" w:styleId="WWNum10">
    <w:name w:val="WWNum10"/>
    <w:basedOn w:val="Bezpopis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79075">
      <w:bodyDiv w:val="1"/>
      <w:marLeft w:val="0"/>
      <w:marRight w:val="0"/>
      <w:marTop w:val="0"/>
      <w:marBottom w:val="0"/>
      <w:divBdr>
        <w:top w:val="none" w:sz="0" w:space="0" w:color="auto"/>
        <w:left w:val="none" w:sz="0" w:space="0" w:color="auto"/>
        <w:bottom w:val="none" w:sz="0" w:space="0" w:color="auto"/>
        <w:right w:val="none" w:sz="0" w:space="0" w:color="auto"/>
      </w:divBdr>
    </w:div>
    <w:div w:id="184253524">
      <w:bodyDiv w:val="1"/>
      <w:marLeft w:val="0"/>
      <w:marRight w:val="0"/>
      <w:marTop w:val="0"/>
      <w:marBottom w:val="0"/>
      <w:divBdr>
        <w:top w:val="none" w:sz="0" w:space="0" w:color="auto"/>
        <w:left w:val="none" w:sz="0" w:space="0" w:color="auto"/>
        <w:bottom w:val="none" w:sz="0" w:space="0" w:color="auto"/>
        <w:right w:val="none" w:sz="0" w:space="0" w:color="auto"/>
      </w:divBdr>
    </w:div>
    <w:div w:id="261575206">
      <w:bodyDiv w:val="1"/>
      <w:marLeft w:val="0"/>
      <w:marRight w:val="0"/>
      <w:marTop w:val="0"/>
      <w:marBottom w:val="0"/>
      <w:divBdr>
        <w:top w:val="none" w:sz="0" w:space="0" w:color="auto"/>
        <w:left w:val="none" w:sz="0" w:space="0" w:color="auto"/>
        <w:bottom w:val="none" w:sz="0" w:space="0" w:color="auto"/>
        <w:right w:val="none" w:sz="0" w:space="0" w:color="auto"/>
      </w:divBdr>
    </w:div>
    <w:div w:id="528758215">
      <w:bodyDiv w:val="1"/>
      <w:marLeft w:val="0"/>
      <w:marRight w:val="0"/>
      <w:marTop w:val="0"/>
      <w:marBottom w:val="0"/>
      <w:divBdr>
        <w:top w:val="none" w:sz="0" w:space="0" w:color="auto"/>
        <w:left w:val="none" w:sz="0" w:space="0" w:color="auto"/>
        <w:bottom w:val="none" w:sz="0" w:space="0" w:color="auto"/>
        <w:right w:val="none" w:sz="0" w:space="0" w:color="auto"/>
      </w:divBdr>
    </w:div>
    <w:div w:id="1093163099">
      <w:bodyDiv w:val="1"/>
      <w:marLeft w:val="0"/>
      <w:marRight w:val="0"/>
      <w:marTop w:val="0"/>
      <w:marBottom w:val="0"/>
      <w:divBdr>
        <w:top w:val="none" w:sz="0" w:space="0" w:color="auto"/>
        <w:left w:val="none" w:sz="0" w:space="0" w:color="auto"/>
        <w:bottom w:val="none" w:sz="0" w:space="0" w:color="auto"/>
        <w:right w:val="none" w:sz="0" w:space="0" w:color="auto"/>
      </w:divBdr>
    </w:div>
    <w:div w:id="1350983164">
      <w:bodyDiv w:val="1"/>
      <w:marLeft w:val="0"/>
      <w:marRight w:val="0"/>
      <w:marTop w:val="0"/>
      <w:marBottom w:val="0"/>
      <w:divBdr>
        <w:top w:val="none" w:sz="0" w:space="0" w:color="auto"/>
        <w:left w:val="none" w:sz="0" w:space="0" w:color="auto"/>
        <w:bottom w:val="none" w:sz="0" w:space="0" w:color="auto"/>
        <w:right w:val="none" w:sz="0" w:space="0" w:color="auto"/>
      </w:divBdr>
    </w:div>
    <w:div w:id="1390348941">
      <w:bodyDiv w:val="1"/>
      <w:marLeft w:val="0"/>
      <w:marRight w:val="0"/>
      <w:marTop w:val="0"/>
      <w:marBottom w:val="0"/>
      <w:divBdr>
        <w:top w:val="none" w:sz="0" w:space="0" w:color="auto"/>
        <w:left w:val="none" w:sz="0" w:space="0" w:color="auto"/>
        <w:bottom w:val="none" w:sz="0" w:space="0" w:color="auto"/>
        <w:right w:val="none" w:sz="0" w:space="0" w:color="auto"/>
      </w:divBdr>
    </w:div>
    <w:div w:id="1871258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92FF3-3DB3-446F-BE69-C8F3647F8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8362</Words>
  <Characters>47665</Characters>
  <Application>Microsoft Office Word</Application>
  <DocSecurity>0</DocSecurity>
  <Lines>397</Lines>
  <Paragraphs>111</Paragraphs>
  <ScaleCrop>false</ScaleCrop>
  <HeadingPairs>
    <vt:vector size="2" baseType="variant">
      <vt:variant>
        <vt:lpstr>Naslov</vt:lpstr>
      </vt:variant>
      <vt:variant>
        <vt:i4>1</vt:i4>
      </vt:variant>
    </vt:vector>
  </HeadingPairs>
  <TitlesOfParts>
    <vt:vector size="1" baseType="lpstr">
      <vt:lpstr>PRO23_Upute za popunjavanje Obrasca 2_obrazloženja posebnog dijela proračuna / financijskog plana</vt:lpstr>
    </vt:vector>
  </TitlesOfParts>
  <Company/>
  <LinksUpToDate>false</LinksUpToDate>
  <CharactersWithSpaces>55916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PRO23_Upute za popunjavanje Obrasca 2_obrazloženja posebnog dijela proračuna / financijskog plana</dc:title>
  <dc:creator>Marušić Marija</dc:creator>
  <cp:lastModifiedBy>Korisnik</cp:lastModifiedBy>
  <cp:revision>2</cp:revision>
  <cp:lastPrinted>2024-12-13T14:57:00Z</cp:lastPrinted>
  <dcterms:created xsi:type="dcterms:W3CDTF">2024-12-23T13:32:00Z</dcterms:created>
  <dcterms:modified xsi:type="dcterms:W3CDTF">2024-12-23T13:32:00Z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