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14FD" w14:textId="77777777" w:rsidR="005E27EF" w:rsidRPr="00847316" w:rsidRDefault="005E27EF" w:rsidP="005E27EF">
      <w:pPr>
        <w:pStyle w:val="Zaglavlje"/>
        <w:rPr>
          <w:sz w:val="20"/>
          <w:szCs w:val="20"/>
        </w:rPr>
      </w:pPr>
      <w:r w:rsidRPr="00847316">
        <w:rPr>
          <w:sz w:val="20"/>
          <w:szCs w:val="20"/>
        </w:rPr>
        <w:t>ZAVOD ZA HITNU MEDICINU SPLITSKO-DALMATINSKE ŽUPANIJE</w:t>
      </w:r>
    </w:p>
    <w:p w14:paraId="2800D4AF" w14:textId="77777777" w:rsidR="005E27EF" w:rsidRPr="00847316" w:rsidRDefault="005E27EF" w:rsidP="005E27EF">
      <w:pPr>
        <w:pStyle w:val="Zaglavlje"/>
        <w:rPr>
          <w:sz w:val="20"/>
          <w:szCs w:val="20"/>
        </w:rPr>
      </w:pPr>
    </w:p>
    <w:p w14:paraId="2E3CCF7C" w14:textId="7D03AD38" w:rsidR="005E27EF" w:rsidRPr="00847316" w:rsidRDefault="005E27EF" w:rsidP="005E27EF">
      <w:pPr>
        <w:pStyle w:val="Zaglavlje"/>
        <w:rPr>
          <w:sz w:val="20"/>
          <w:szCs w:val="20"/>
        </w:rPr>
      </w:pPr>
      <w:r w:rsidRPr="00847316">
        <w:rPr>
          <w:sz w:val="20"/>
          <w:szCs w:val="20"/>
        </w:rPr>
        <w:t>Klasa: 003-06/23-01/1</w:t>
      </w:r>
      <w:r w:rsidR="00324715">
        <w:rPr>
          <w:sz w:val="20"/>
          <w:szCs w:val="20"/>
        </w:rPr>
        <w:t>4</w:t>
      </w:r>
    </w:p>
    <w:p w14:paraId="5B0F2906" w14:textId="111E6CD1" w:rsidR="005E27EF" w:rsidRPr="00847316" w:rsidRDefault="005E27EF" w:rsidP="005E27EF">
      <w:pPr>
        <w:pStyle w:val="Zaglavlje"/>
        <w:rPr>
          <w:sz w:val="20"/>
          <w:szCs w:val="20"/>
        </w:rPr>
      </w:pPr>
      <w:proofErr w:type="spellStart"/>
      <w:r w:rsidRPr="00847316">
        <w:rPr>
          <w:sz w:val="20"/>
          <w:szCs w:val="20"/>
        </w:rPr>
        <w:t>Ur.broj</w:t>
      </w:r>
      <w:proofErr w:type="spellEnd"/>
      <w:r w:rsidRPr="00847316">
        <w:rPr>
          <w:sz w:val="20"/>
          <w:szCs w:val="20"/>
        </w:rPr>
        <w:t>: 2181-148-01-06-23-</w:t>
      </w:r>
      <w:r w:rsidR="00324715">
        <w:rPr>
          <w:sz w:val="20"/>
          <w:szCs w:val="20"/>
        </w:rPr>
        <w:t>3</w:t>
      </w:r>
    </w:p>
    <w:p w14:paraId="6BFC766F" w14:textId="63A34F35" w:rsidR="005E27EF" w:rsidRPr="00847316" w:rsidRDefault="005E27EF" w:rsidP="005E27EF">
      <w:pPr>
        <w:pStyle w:val="Zaglavlje"/>
        <w:rPr>
          <w:sz w:val="20"/>
          <w:szCs w:val="20"/>
        </w:rPr>
      </w:pPr>
      <w:r w:rsidRPr="00847316">
        <w:rPr>
          <w:sz w:val="20"/>
          <w:szCs w:val="20"/>
        </w:rPr>
        <w:t xml:space="preserve">Split, </w:t>
      </w:r>
      <w:r w:rsidR="00324715">
        <w:rPr>
          <w:sz w:val="20"/>
          <w:szCs w:val="20"/>
        </w:rPr>
        <w:t>21</w:t>
      </w:r>
      <w:r w:rsidRPr="00847316">
        <w:rPr>
          <w:sz w:val="20"/>
          <w:szCs w:val="20"/>
        </w:rPr>
        <w:t>.</w:t>
      </w:r>
      <w:r w:rsidR="00324715">
        <w:rPr>
          <w:sz w:val="20"/>
          <w:szCs w:val="20"/>
        </w:rPr>
        <w:t xml:space="preserve"> prosinca</w:t>
      </w:r>
      <w:r w:rsidRPr="00847316">
        <w:rPr>
          <w:sz w:val="20"/>
          <w:szCs w:val="20"/>
        </w:rPr>
        <w:t xml:space="preserve"> 2023.g.</w:t>
      </w:r>
    </w:p>
    <w:p w14:paraId="0BDFE968" w14:textId="77777777" w:rsidR="005E27EF" w:rsidRPr="00847316" w:rsidRDefault="005E27EF" w:rsidP="005E27EF">
      <w:pPr>
        <w:pStyle w:val="Zaglavlje"/>
        <w:rPr>
          <w:sz w:val="20"/>
          <w:szCs w:val="20"/>
        </w:rPr>
      </w:pPr>
    </w:p>
    <w:p w14:paraId="2053C829" w14:textId="49B63CAF" w:rsidR="005E27EF" w:rsidRPr="00847316" w:rsidRDefault="005E27EF" w:rsidP="005E27EF">
      <w:pPr>
        <w:pStyle w:val="Zaglavlje"/>
        <w:rPr>
          <w:sz w:val="20"/>
          <w:szCs w:val="20"/>
        </w:rPr>
      </w:pPr>
      <w:r w:rsidRPr="00847316">
        <w:rPr>
          <w:sz w:val="20"/>
          <w:szCs w:val="20"/>
        </w:rPr>
        <w:t>Na temelju članka 23. Statuta Zavoda za hitnu medicinu Splitsko-dalmatinske županije Upravno vijeće Zavoda na svojoj 1</w:t>
      </w:r>
      <w:r w:rsidR="00324715">
        <w:rPr>
          <w:sz w:val="20"/>
          <w:szCs w:val="20"/>
        </w:rPr>
        <w:t>6</w:t>
      </w:r>
      <w:r w:rsidRPr="00847316">
        <w:rPr>
          <w:sz w:val="20"/>
          <w:szCs w:val="20"/>
        </w:rPr>
        <w:t xml:space="preserve">. redovnoj sjednici održanoj dana </w:t>
      </w:r>
      <w:r w:rsidR="00324715">
        <w:rPr>
          <w:sz w:val="20"/>
          <w:szCs w:val="20"/>
        </w:rPr>
        <w:t>21</w:t>
      </w:r>
      <w:r w:rsidRPr="00847316">
        <w:rPr>
          <w:sz w:val="20"/>
          <w:szCs w:val="20"/>
        </w:rPr>
        <w:t xml:space="preserve">. </w:t>
      </w:r>
      <w:r w:rsidR="00324715">
        <w:rPr>
          <w:sz w:val="20"/>
          <w:szCs w:val="20"/>
        </w:rPr>
        <w:t>prosinca</w:t>
      </w:r>
      <w:r w:rsidRPr="00847316">
        <w:rPr>
          <w:sz w:val="20"/>
          <w:szCs w:val="20"/>
        </w:rPr>
        <w:t xml:space="preserve"> 2023. godine donijelo je</w:t>
      </w:r>
    </w:p>
    <w:p w14:paraId="3B4CE182" w14:textId="03F2FF7F" w:rsidR="00EE0F6C" w:rsidRDefault="00EE0F6C" w:rsidP="00273874">
      <w:pPr>
        <w:pStyle w:val="Standard"/>
        <w:jc w:val="center"/>
        <w:rPr>
          <w:b/>
          <w:bCs/>
          <w:sz w:val="20"/>
          <w:szCs w:val="20"/>
        </w:rPr>
      </w:pPr>
    </w:p>
    <w:p w14:paraId="798F1065" w14:textId="77777777" w:rsidR="00F12BCA" w:rsidRDefault="00F12BCA" w:rsidP="00273874">
      <w:pPr>
        <w:pStyle w:val="Standard"/>
        <w:jc w:val="center"/>
        <w:rPr>
          <w:b/>
          <w:bCs/>
          <w:sz w:val="20"/>
          <w:szCs w:val="20"/>
        </w:rPr>
      </w:pPr>
    </w:p>
    <w:p w14:paraId="0BA29331" w14:textId="77777777" w:rsidR="00E510CC" w:rsidRPr="000C1952" w:rsidRDefault="00E510CC" w:rsidP="00847316">
      <w:pPr>
        <w:pStyle w:val="Standard"/>
        <w:rPr>
          <w:b/>
          <w:bCs/>
          <w:sz w:val="20"/>
          <w:szCs w:val="20"/>
        </w:rPr>
      </w:pPr>
    </w:p>
    <w:p w14:paraId="1C405540" w14:textId="77777777" w:rsidR="00EE0F6C" w:rsidRPr="000C1952" w:rsidRDefault="00EE0F6C" w:rsidP="00273874">
      <w:pPr>
        <w:pStyle w:val="Standard"/>
        <w:jc w:val="center"/>
        <w:rPr>
          <w:b/>
          <w:bCs/>
          <w:sz w:val="20"/>
          <w:szCs w:val="20"/>
        </w:rPr>
      </w:pPr>
    </w:p>
    <w:p w14:paraId="7F711E6E" w14:textId="2144B368" w:rsidR="0084620E" w:rsidRDefault="00273874" w:rsidP="009E14B8">
      <w:pPr>
        <w:pStyle w:val="Standard"/>
        <w:jc w:val="center"/>
        <w:rPr>
          <w:b/>
          <w:bCs/>
          <w:sz w:val="22"/>
          <w:szCs w:val="22"/>
        </w:rPr>
      </w:pPr>
      <w:r w:rsidRPr="00FB1800">
        <w:rPr>
          <w:b/>
          <w:bCs/>
          <w:sz w:val="22"/>
          <w:szCs w:val="22"/>
        </w:rPr>
        <w:t>OBRAZLOŽENJ</w:t>
      </w:r>
      <w:r w:rsidR="0084620E">
        <w:rPr>
          <w:b/>
          <w:bCs/>
          <w:sz w:val="22"/>
          <w:szCs w:val="22"/>
        </w:rPr>
        <w:t xml:space="preserve">E FINANCIJSKOG </w:t>
      </w:r>
      <w:r w:rsidRPr="00FB1800">
        <w:rPr>
          <w:b/>
          <w:bCs/>
          <w:sz w:val="22"/>
          <w:szCs w:val="22"/>
        </w:rPr>
        <w:t xml:space="preserve">PLANA </w:t>
      </w:r>
      <w:r w:rsidR="00324715">
        <w:rPr>
          <w:b/>
          <w:bCs/>
          <w:sz w:val="22"/>
          <w:szCs w:val="22"/>
        </w:rPr>
        <w:t>ZA</w:t>
      </w:r>
      <w:r w:rsidRPr="00FB1800">
        <w:rPr>
          <w:b/>
          <w:bCs/>
          <w:sz w:val="22"/>
          <w:szCs w:val="22"/>
        </w:rPr>
        <w:t>202</w:t>
      </w:r>
      <w:r w:rsidR="00A67B9D" w:rsidRPr="00FB1800">
        <w:rPr>
          <w:b/>
          <w:bCs/>
          <w:sz w:val="22"/>
          <w:szCs w:val="22"/>
        </w:rPr>
        <w:t>4</w:t>
      </w:r>
      <w:r w:rsidRPr="00FB1800">
        <w:rPr>
          <w:b/>
          <w:bCs/>
          <w:sz w:val="22"/>
          <w:szCs w:val="22"/>
        </w:rPr>
        <w:t>.G.</w:t>
      </w:r>
    </w:p>
    <w:p w14:paraId="336A2C24" w14:textId="5CC8AD34" w:rsidR="00FA6BF1" w:rsidRDefault="00273874" w:rsidP="009E14B8">
      <w:pPr>
        <w:pStyle w:val="Standard"/>
        <w:jc w:val="center"/>
        <w:rPr>
          <w:b/>
          <w:bCs/>
          <w:sz w:val="22"/>
          <w:szCs w:val="22"/>
        </w:rPr>
      </w:pPr>
      <w:r w:rsidRPr="00FB1800">
        <w:rPr>
          <w:b/>
          <w:bCs/>
          <w:sz w:val="22"/>
          <w:szCs w:val="22"/>
        </w:rPr>
        <w:t xml:space="preserve">I PROJEKCIJA </w:t>
      </w:r>
      <w:r w:rsidR="0084620E">
        <w:rPr>
          <w:b/>
          <w:bCs/>
          <w:sz w:val="22"/>
          <w:szCs w:val="22"/>
        </w:rPr>
        <w:t xml:space="preserve">ZA </w:t>
      </w:r>
      <w:r w:rsidRPr="00FB1800">
        <w:rPr>
          <w:b/>
          <w:bCs/>
          <w:sz w:val="22"/>
          <w:szCs w:val="22"/>
        </w:rPr>
        <w:t>202</w:t>
      </w:r>
      <w:r w:rsidR="00A67B9D" w:rsidRPr="00FB1800">
        <w:rPr>
          <w:b/>
          <w:bCs/>
          <w:sz w:val="22"/>
          <w:szCs w:val="22"/>
        </w:rPr>
        <w:t>5</w:t>
      </w:r>
      <w:r w:rsidRPr="00FB1800">
        <w:rPr>
          <w:b/>
          <w:bCs/>
          <w:sz w:val="22"/>
          <w:szCs w:val="22"/>
        </w:rPr>
        <w:t>.G. I 202</w:t>
      </w:r>
      <w:r w:rsidR="00A67B9D" w:rsidRPr="00FB1800">
        <w:rPr>
          <w:b/>
          <w:bCs/>
          <w:sz w:val="22"/>
          <w:szCs w:val="22"/>
        </w:rPr>
        <w:t>6</w:t>
      </w:r>
      <w:r w:rsidRPr="00FB1800">
        <w:rPr>
          <w:b/>
          <w:bCs/>
          <w:sz w:val="22"/>
          <w:szCs w:val="22"/>
        </w:rPr>
        <w:t>.G.</w:t>
      </w:r>
    </w:p>
    <w:p w14:paraId="0FEF9D5C" w14:textId="77777777" w:rsidR="00847316" w:rsidRDefault="00847316" w:rsidP="009E14B8">
      <w:pPr>
        <w:pStyle w:val="Standard"/>
        <w:jc w:val="center"/>
        <w:rPr>
          <w:b/>
          <w:bCs/>
          <w:sz w:val="22"/>
          <w:szCs w:val="22"/>
        </w:rPr>
      </w:pPr>
    </w:p>
    <w:p w14:paraId="2CCD2289" w14:textId="77777777" w:rsidR="00671668" w:rsidRDefault="00671668" w:rsidP="009E14B8">
      <w:pPr>
        <w:pStyle w:val="Standard"/>
        <w:jc w:val="center"/>
        <w:rPr>
          <w:b/>
          <w:bCs/>
          <w:sz w:val="22"/>
          <w:szCs w:val="22"/>
        </w:rPr>
      </w:pPr>
    </w:p>
    <w:p w14:paraId="0D198EAB" w14:textId="60F1E820" w:rsidR="00671668" w:rsidRPr="004436BC" w:rsidRDefault="00671668" w:rsidP="009E14B8">
      <w:pPr>
        <w:pStyle w:val="Odlomakpopisa"/>
        <w:numPr>
          <w:ilvl w:val="0"/>
          <w:numId w:val="18"/>
        </w:numPr>
        <w:tabs>
          <w:tab w:val="center" w:pos="4706"/>
          <w:tab w:val="left" w:pos="5970"/>
        </w:tabs>
        <w:jc w:val="center"/>
        <w:rPr>
          <w:rFonts w:ascii="Times New Roman" w:hAnsi="Times New Roman" w:cs="Times New Roman"/>
          <w:b/>
          <w:bCs/>
        </w:rPr>
      </w:pPr>
      <w:r w:rsidRPr="004436BC">
        <w:rPr>
          <w:rFonts w:ascii="Times New Roman" w:hAnsi="Times New Roman" w:cs="Times New Roman"/>
          <w:b/>
          <w:bCs/>
        </w:rPr>
        <w:t>OPĆI DIO</w:t>
      </w:r>
    </w:p>
    <w:p w14:paraId="11AE7082" w14:textId="77777777" w:rsidR="00C97AA2" w:rsidRDefault="00C97AA2" w:rsidP="00C97AA2">
      <w:pPr>
        <w:pStyle w:val="Standard"/>
        <w:jc w:val="both"/>
        <w:rPr>
          <w:sz w:val="22"/>
          <w:szCs w:val="22"/>
        </w:rPr>
      </w:pPr>
    </w:p>
    <w:p w14:paraId="653D8C30" w14:textId="4D6AB4FF" w:rsidR="0041156D" w:rsidRPr="0091054B" w:rsidRDefault="0041156D" w:rsidP="00C97AA2">
      <w:pPr>
        <w:pStyle w:val="Standard"/>
        <w:jc w:val="both"/>
        <w:rPr>
          <w:rFonts w:eastAsia="Symbol"/>
          <w:kern w:val="0"/>
          <w:sz w:val="22"/>
          <w:szCs w:val="22"/>
          <w:lang w:val="pl-PL"/>
        </w:rPr>
      </w:pPr>
      <w:r w:rsidRPr="0091054B">
        <w:rPr>
          <w:rFonts w:eastAsia="Symbol"/>
          <w:kern w:val="0"/>
          <w:sz w:val="22"/>
          <w:szCs w:val="22"/>
          <w:lang w:val="pl-PL"/>
        </w:rPr>
        <w:t>Zavod za hitnu medicinu Splitsko-dalmatinske županije (Zavod) je zdravstvena ustanova koja obavlja djelatnost hitne medicine i sanitetskog prijevoza. Djelatnost hitne medicine Zavod obavlja provođenjem mjera hitnog zbrinjavanja na mjestu ozljeđivanja odnosno obolijevanja, hitnog prijevoza oboljelih i ozlijeđenih osoba u odgovarajuću zdravstvenu ustanovu te zdravstveno zbrinjavanje za vrijeme prijevoza. Djelatnost sanitetskog prijevoza podrazumijeva prijevoz u ili iz zdravstvene ustanove u svrhu pružanja zdravstvenih usluga vozilom posebno opremljenim medicinskom i ostalom opremom za siguran prijevoz pacijenata.</w:t>
      </w:r>
    </w:p>
    <w:p w14:paraId="0537F1FF" w14:textId="591B0E87" w:rsidR="0041156D" w:rsidRPr="0091054B" w:rsidRDefault="0041156D" w:rsidP="00C97AA2">
      <w:pPr>
        <w:snapToGrid w:val="0"/>
        <w:spacing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Zavod djelatnost hitne medicine i sanitetskog prijevoza obavlja na 21 punktu na području Splitsko-dalmatinske županije i to u 16 ispostava (Split, Gornji Humac na Braču, Hvar, Imotski, Jelsa na Hvaru, Kaštel Stari, Makarska, Drvenik/Podaca, Omiš, Sinj, Solin, Supetar, Šestanovac, Trilj, Trogir i Vrgorac), 4 punkta pripravnosti (Muć, Šolta, Vis, Vrlika) i 1 punkt hitnog zračnog medicinskog prijevoza (Divulje). U Zavodu je zaposleno 5</w:t>
      </w:r>
      <w:r w:rsidR="00650497" w:rsidRPr="0091054B">
        <w:rPr>
          <w:rFonts w:ascii="Times New Roman" w:eastAsia="Symbol" w:hAnsi="Times New Roman" w:cs="Times New Roman"/>
          <w:kern w:val="0"/>
          <w:lang w:val="pl-PL" w:eastAsia="hr-HR"/>
        </w:rPr>
        <w:t>63</w:t>
      </w:r>
      <w:r w:rsidRPr="0091054B">
        <w:rPr>
          <w:rFonts w:ascii="Times New Roman" w:eastAsia="Symbol" w:hAnsi="Times New Roman" w:cs="Times New Roman"/>
          <w:kern w:val="0"/>
          <w:lang w:val="pl-PL" w:eastAsia="hr-HR"/>
        </w:rPr>
        <w:t xml:space="preserve"> zaposlenika od čega je 5</w:t>
      </w:r>
      <w:r w:rsidR="00650497" w:rsidRPr="0091054B">
        <w:rPr>
          <w:rFonts w:ascii="Times New Roman" w:eastAsia="Symbol" w:hAnsi="Times New Roman" w:cs="Times New Roman"/>
          <w:kern w:val="0"/>
          <w:lang w:val="pl-PL" w:eastAsia="hr-HR"/>
        </w:rPr>
        <w:t>24</w:t>
      </w:r>
      <w:r w:rsidRPr="0091054B">
        <w:rPr>
          <w:rFonts w:ascii="Times New Roman" w:eastAsia="Symbol" w:hAnsi="Times New Roman" w:cs="Times New Roman"/>
          <w:kern w:val="0"/>
          <w:lang w:val="pl-PL" w:eastAsia="hr-HR"/>
        </w:rPr>
        <w:t xml:space="preserve"> medicinsko osoblje.</w:t>
      </w:r>
    </w:p>
    <w:p w14:paraId="18FBBE11" w14:textId="3E712901" w:rsidR="00E8016C" w:rsidRPr="0091054B" w:rsidRDefault="0041156D" w:rsidP="00C97AA2">
      <w:pPr>
        <w:pStyle w:val="Standard"/>
        <w:jc w:val="both"/>
        <w:rPr>
          <w:rFonts w:eastAsia="Symbol"/>
          <w:kern w:val="0"/>
          <w:sz w:val="22"/>
          <w:szCs w:val="22"/>
          <w:lang w:val="pl-PL"/>
        </w:rPr>
      </w:pPr>
      <w:r w:rsidRPr="0091054B">
        <w:rPr>
          <w:rFonts w:eastAsia="Symbol"/>
          <w:kern w:val="0"/>
          <w:sz w:val="22"/>
          <w:szCs w:val="22"/>
          <w:lang w:val="pl-PL"/>
        </w:rPr>
        <w:t>Sukladno odredbama Zakona o proračunu (NN</w:t>
      </w:r>
      <w:r w:rsidR="00D00F86" w:rsidRPr="0091054B">
        <w:rPr>
          <w:rFonts w:eastAsia="Symbol"/>
          <w:kern w:val="0"/>
          <w:sz w:val="22"/>
          <w:szCs w:val="22"/>
          <w:lang w:val="pl-PL"/>
        </w:rPr>
        <w:t xml:space="preserve"> 144/21</w:t>
      </w:r>
      <w:r w:rsidRPr="0091054B">
        <w:rPr>
          <w:rFonts w:eastAsia="Symbol"/>
          <w:kern w:val="0"/>
          <w:sz w:val="22"/>
          <w:szCs w:val="22"/>
          <w:lang w:val="pl-PL"/>
        </w:rPr>
        <w:t>), Pravilnika o proračunskom računovodstvu i računskom planu  (NN</w:t>
      </w:r>
      <w:r w:rsidR="00D00F86" w:rsidRPr="0091054B">
        <w:rPr>
          <w:rFonts w:eastAsia="Symbol"/>
          <w:kern w:val="0"/>
          <w:sz w:val="22"/>
          <w:szCs w:val="22"/>
          <w:lang w:val="pl-PL"/>
        </w:rPr>
        <w:t xml:space="preserve"> 124/14, 115/15, 87/16, 3/18, 126/19</w:t>
      </w:r>
      <w:r w:rsidRPr="0091054B">
        <w:rPr>
          <w:rFonts w:eastAsia="Symbol"/>
          <w:kern w:val="0"/>
          <w:sz w:val="22"/>
          <w:szCs w:val="22"/>
          <w:lang w:val="pl-PL"/>
        </w:rPr>
        <w:t>)</w:t>
      </w:r>
      <w:r w:rsidR="009C7627" w:rsidRPr="0091054B">
        <w:rPr>
          <w:rFonts w:eastAsia="Symbol"/>
          <w:kern w:val="0"/>
          <w:sz w:val="22"/>
          <w:szCs w:val="22"/>
          <w:lang w:val="pl-PL"/>
        </w:rPr>
        <w:t xml:space="preserve"> </w:t>
      </w:r>
      <w:r w:rsidR="00E8016C" w:rsidRPr="0091054B">
        <w:rPr>
          <w:rFonts w:eastAsia="Symbol"/>
          <w:kern w:val="0"/>
          <w:sz w:val="22"/>
          <w:szCs w:val="22"/>
          <w:lang w:val="pl-PL"/>
        </w:rPr>
        <w:t xml:space="preserve">te Uputa za izradu Proračuna Splitsko-dalmatinske županije za razdoblje 2024.g.-2026.g. i vlastitih procjena temeljenih na izvršenju </w:t>
      </w:r>
      <w:r w:rsidR="00E510CC" w:rsidRPr="0091054B">
        <w:rPr>
          <w:rFonts w:eastAsia="Symbol"/>
          <w:kern w:val="0"/>
          <w:sz w:val="22"/>
          <w:szCs w:val="22"/>
          <w:lang w:val="pl-PL"/>
        </w:rPr>
        <w:t xml:space="preserve">prihoda i rashoda </w:t>
      </w:r>
      <w:r w:rsidR="00E8016C" w:rsidRPr="0091054B">
        <w:rPr>
          <w:rFonts w:eastAsia="Symbol"/>
          <w:kern w:val="0"/>
          <w:sz w:val="22"/>
          <w:szCs w:val="22"/>
          <w:lang w:val="pl-PL"/>
        </w:rPr>
        <w:t xml:space="preserve">u 2023.g. izrađen je </w:t>
      </w:r>
      <w:r w:rsidR="002C3A05" w:rsidRPr="0091054B">
        <w:rPr>
          <w:rFonts w:eastAsia="Symbol"/>
          <w:kern w:val="0"/>
          <w:sz w:val="22"/>
          <w:szCs w:val="22"/>
          <w:lang w:val="pl-PL"/>
        </w:rPr>
        <w:t xml:space="preserve">prijedlog </w:t>
      </w:r>
      <w:r w:rsidR="00E8016C" w:rsidRPr="0091054B">
        <w:rPr>
          <w:rFonts w:eastAsia="Symbol"/>
          <w:kern w:val="0"/>
          <w:sz w:val="22"/>
          <w:szCs w:val="22"/>
          <w:lang w:val="pl-PL"/>
        </w:rPr>
        <w:t>financijsk</w:t>
      </w:r>
      <w:r w:rsidR="002C3A05" w:rsidRPr="0091054B">
        <w:rPr>
          <w:rFonts w:eastAsia="Symbol"/>
          <w:kern w:val="0"/>
          <w:sz w:val="22"/>
          <w:szCs w:val="22"/>
          <w:lang w:val="pl-PL"/>
        </w:rPr>
        <w:t>og</w:t>
      </w:r>
      <w:r w:rsidR="00E8016C" w:rsidRPr="0091054B">
        <w:rPr>
          <w:rFonts w:eastAsia="Symbol"/>
          <w:kern w:val="0"/>
          <w:sz w:val="22"/>
          <w:szCs w:val="22"/>
          <w:lang w:val="pl-PL"/>
        </w:rPr>
        <w:t xml:space="preserve"> plan</w:t>
      </w:r>
      <w:r w:rsidR="002C3A05" w:rsidRPr="0091054B">
        <w:rPr>
          <w:rFonts w:eastAsia="Symbol"/>
          <w:kern w:val="0"/>
          <w:sz w:val="22"/>
          <w:szCs w:val="22"/>
          <w:lang w:val="pl-PL"/>
        </w:rPr>
        <w:t>a</w:t>
      </w:r>
      <w:r w:rsidR="00E8016C" w:rsidRPr="0091054B">
        <w:rPr>
          <w:rFonts w:eastAsia="Symbol"/>
          <w:kern w:val="0"/>
          <w:sz w:val="22"/>
          <w:szCs w:val="22"/>
          <w:lang w:val="pl-PL"/>
        </w:rPr>
        <w:t xml:space="preserve"> za 2024.g. i projekcije za 2025.g. i 2026.g.</w:t>
      </w:r>
    </w:p>
    <w:p w14:paraId="780F676D" w14:textId="77777777" w:rsidR="00E510CC" w:rsidRPr="0091054B" w:rsidRDefault="00E510CC" w:rsidP="00C302A9">
      <w:pPr>
        <w:rPr>
          <w:rFonts w:ascii="Times New Roman" w:eastAsia="Symbol" w:hAnsi="Times New Roman" w:cs="Times New Roman"/>
          <w:kern w:val="0"/>
          <w:lang w:val="pl-PL" w:eastAsia="hr-HR"/>
        </w:rPr>
      </w:pPr>
    </w:p>
    <w:p w14:paraId="64E433FF" w14:textId="15FBCDB5" w:rsidR="00C302A9" w:rsidRPr="006853C0" w:rsidRDefault="00C302A9" w:rsidP="00C302A9">
      <w:pPr>
        <w:rPr>
          <w:rFonts w:ascii="Times New Roman" w:hAnsi="Times New Roman" w:cs="Times New Roman"/>
          <w:b/>
          <w:bCs/>
        </w:rPr>
      </w:pPr>
      <w:r>
        <w:rPr>
          <w:rFonts w:ascii="Times New Roman" w:hAnsi="Times New Roman" w:cs="Times New Roman"/>
          <w:b/>
          <w:bCs/>
        </w:rPr>
        <w:t>PRIHODI</w:t>
      </w:r>
    </w:p>
    <w:p w14:paraId="2618DA53" w14:textId="6F08B7B3" w:rsidR="003C39A8" w:rsidRPr="0091054B" w:rsidRDefault="00671668" w:rsidP="00C97AA2">
      <w:pPr>
        <w:pStyle w:val="Standard"/>
        <w:jc w:val="both"/>
        <w:rPr>
          <w:rFonts w:eastAsia="Symbol"/>
          <w:kern w:val="0"/>
          <w:sz w:val="22"/>
          <w:szCs w:val="22"/>
          <w:lang w:val="pl-PL"/>
        </w:rPr>
      </w:pPr>
      <w:r w:rsidRPr="0091054B">
        <w:rPr>
          <w:rFonts w:eastAsia="Symbol"/>
          <w:kern w:val="0"/>
          <w:sz w:val="22"/>
          <w:szCs w:val="22"/>
          <w:lang w:val="pl-PL"/>
        </w:rPr>
        <w:t>Financijski plan Z</w:t>
      </w:r>
      <w:r w:rsidR="003C39A8" w:rsidRPr="0091054B">
        <w:rPr>
          <w:rFonts w:eastAsia="Symbol"/>
          <w:kern w:val="0"/>
          <w:sz w:val="22"/>
          <w:szCs w:val="22"/>
          <w:lang w:val="pl-PL"/>
        </w:rPr>
        <w:t xml:space="preserve">avoda za hitnu medicinu Splitsko-dalmatinske županije (Zavod) </w:t>
      </w:r>
      <w:r w:rsidRPr="0091054B">
        <w:rPr>
          <w:rFonts w:eastAsia="Symbol"/>
          <w:kern w:val="0"/>
          <w:sz w:val="22"/>
          <w:szCs w:val="22"/>
          <w:lang w:val="pl-PL"/>
        </w:rPr>
        <w:t xml:space="preserve">se u 2024.g. planira u iznosu od 24.819.000,00 eura što je 2.358.801,25 eura ili 10,5% više u odnosu na </w:t>
      </w:r>
      <w:r w:rsidR="006853C0" w:rsidRPr="0091054B">
        <w:rPr>
          <w:rFonts w:eastAsia="Symbol"/>
          <w:kern w:val="0"/>
          <w:sz w:val="22"/>
          <w:szCs w:val="22"/>
          <w:lang w:val="pl-PL"/>
        </w:rPr>
        <w:t>plan</w:t>
      </w:r>
      <w:r w:rsidRPr="0091054B">
        <w:rPr>
          <w:rFonts w:eastAsia="Symbol"/>
          <w:kern w:val="0"/>
          <w:sz w:val="22"/>
          <w:szCs w:val="22"/>
          <w:lang w:val="pl-PL"/>
        </w:rPr>
        <w:t xml:space="preserve"> u 2023.g., odnosno </w:t>
      </w:r>
      <w:r w:rsidR="007E7AAD" w:rsidRPr="0091054B">
        <w:rPr>
          <w:rFonts w:eastAsia="Symbol"/>
          <w:kern w:val="0"/>
          <w:sz w:val="22"/>
          <w:szCs w:val="22"/>
          <w:lang w:val="pl-PL"/>
        </w:rPr>
        <w:t xml:space="preserve">6.943.725,35 eura ili 38,9% više u odnosu na ostvarenje u 2022.g. Projekcija Financijskog plana Zavoda u 2025.g. iznosi 24.129.000,00 eura </w:t>
      </w:r>
      <w:r w:rsidR="003C39A8" w:rsidRPr="0091054B">
        <w:rPr>
          <w:rFonts w:eastAsia="Symbol"/>
          <w:kern w:val="0"/>
          <w:sz w:val="22"/>
          <w:szCs w:val="22"/>
          <w:lang w:val="pl-PL"/>
        </w:rPr>
        <w:t xml:space="preserve">što je 690.000,00 eura ili 2,8% manje od planiranog u 2024.g. dok projekcija za 2026.g. iznosi 23.971.000,00 eura što je 158.000,00 eura ili 0,6% manje od 2025.g. </w:t>
      </w:r>
    </w:p>
    <w:p w14:paraId="2E65C084" w14:textId="77777777" w:rsidR="003C39A8" w:rsidRPr="0091054B" w:rsidRDefault="003C39A8" w:rsidP="00C97AA2">
      <w:pPr>
        <w:pStyle w:val="Standard"/>
        <w:jc w:val="both"/>
        <w:rPr>
          <w:rFonts w:eastAsia="Symbol"/>
          <w:kern w:val="0"/>
          <w:sz w:val="22"/>
          <w:szCs w:val="22"/>
          <w:lang w:val="pl-PL"/>
        </w:rPr>
      </w:pPr>
    </w:p>
    <w:p w14:paraId="16902876" w14:textId="0208C7C7" w:rsidR="003C39A8" w:rsidRPr="0091054B" w:rsidRDefault="003C39A8" w:rsidP="00C97AA2">
      <w:pPr>
        <w:pStyle w:val="Standard"/>
        <w:jc w:val="both"/>
        <w:rPr>
          <w:rFonts w:eastAsia="Symbol"/>
          <w:kern w:val="0"/>
          <w:sz w:val="22"/>
          <w:szCs w:val="22"/>
          <w:lang w:val="pl-PL"/>
        </w:rPr>
      </w:pPr>
      <w:r w:rsidRPr="0091054B">
        <w:rPr>
          <w:rFonts w:eastAsia="Symbol"/>
          <w:kern w:val="0"/>
          <w:sz w:val="22"/>
          <w:szCs w:val="22"/>
          <w:lang w:val="pl-PL"/>
        </w:rPr>
        <w:t>Razlike u odnosu na usvojene prošlogodišnje projekcije za 2024.g. i 2025.g., odnose se najvećim dijelom na povećanje plana prihoda za posebne namjene (prihod od HZZO-a) usl</w:t>
      </w:r>
      <w:r w:rsidR="00235E5B" w:rsidRPr="0091054B">
        <w:rPr>
          <w:rFonts w:eastAsia="Symbol"/>
          <w:kern w:val="0"/>
          <w:sz w:val="22"/>
          <w:szCs w:val="22"/>
          <w:lang w:val="pl-PL"/>
        </w:rPr>
        <w:t>i</w:t>
      </w:r>
      <w:r w:rsidRPr="0091054B">
        <w:rPr>
          <w:rFonts w:eastAsia="Symbol"/>
          <w:kern w:val="0"/>
          <w:sz w:val="22"/>
          <w:szCs w:val="22"/>
          <w:lang w:val="pl-PL"/>
        </w:rPr>
        <w:t xml:space="preserve">jed povećanja vrijednosti ugovorenih timova zbog povećanja osnovice i koeficijenata za obračun plaće, uvođenja privremenog dodatka te uvođenja dvije nove aktivnosti </w:t>
      </w:r>
      <w:r w:rsidR="00235E5B" w:rsidRPr="0091054B">
        <w:rPr>
          <w:rFonts w:eastAsia="Symbol"/>
          <w:kern w:val="0"/>
          <w:sz w:val="22"/>
          <w:szCs w:val="22"/>
          <w:lang w:val="pl-PL"/>
        </w:rPr>
        <w:t xml:space="preserve">specijalističkog usavršavanja doktora medicine i medicinskih tehničara prvostupnika sestrinstva iz hitne medicine, </w:t>
      </w:r>
      <w:r w:rsidRPr="0091054B">
        <w:rPr>
          <w:rFonts w:eastAsia="Symbol"/>
          <w:kern w:val="0"/>
          <w:sz w:val="22"/>
          <w:szCs w:val="22"/>
          <w:lang w:val="pl-PL"/>
        </w:rPr>
        <w:t>financirane iz Nacionalnog plana oporavka i otpornosti.</w:t>
      </w:r>
    </w:p>
    <w:p w14:paraId="64B2256C" w14:textId="77777777" w:rsidR="00671668" w:rsidRPr="00FB1800" w:rsidRDefault="00671668" w:rsidP="00273874">
      <w:pPr>
        <w:pStyle w:val="Standard"/>
        <w:jc w:val="center"/>
        <w:rPr>
          <w:b/>
          <w:bCs/>
          <w:sz w:val="22"/>
          <w:szCs w:val="22"/>
        </w:rPr>
      </w:pPr>
    </w:p>
    <w:p w14:paraId="1657547B" w14:textId="77777777" w:rsidR="00FC67A2" w:rsidRDefault="00FC67A2" w:rsidP="00FB5230">
      <w:pPr>
        <w:pStyle w:val="Standard"/>
        <w:rPr>
          <w:b/>
          <w:bCs/>
          <w:sz w:val="20"/>
          <w:szCs w:val="20"/>
        </w:rPr>
      </w:pPr>
    </w:p>
    <w:p w14:paraId="49FC1C95" w14:textId="77777777" w:rsidR="00E510CC" w:rsidRDefault="00E510CC" w:rsidP="00FB5230">
      <w:pPr>
        <w:pStyle w:val="Standard"/>
        <w:rPr>
          <w:b/>
          <w:bCs/>
          <w:sz w:val="20"/>
          <w:szCs w:val="20"/>
        </w:rPr>
      </w:pPr>
    </w:p>
    <w:p w14:paraId="4DB52BB4" w14:textId="77777777" w:rsidR="00E510CC" w:rsidRDefault="00E510CC" w:rsidP="00FB5230">
      <w:pPr>
        <w:pStyle w:val="Standard"/>
        <w:rPr>
          <w:b/>
          <w:bCs/>
          <w:sz w:val="20"/>
          <w:szCs w:val="20"/>
        </w:rPr>
      </w:pPr>
    </w:p>
    <w:p w14:paraId="4DDCFBFC" w14:textId="77777777" w:rsidR="00847316" w:rsidRDefault="00847316" w:rsidP="00723E5D">
      <w:pPr>
        <w:rPr>
          <w:rFonts w:ascii="Times New Roman" w:hAnsi="Times New Roman" w:cs="Times New Roman"/>
          <w:b/>
          <w:bCs/>
        </w:rPr>
      </w:pPr>
    </w:p>
    <w:p w14:paraId="1AE6CAD0" w14:textId="77777777" w:rsidR="00A56AD1" w:rsidRDefault="00A56AD1" w:rsidP="00723E5D">
      <w:pPr>
        <w:rPr>
          <w:rFonts w:ascii="Times New Roman" w:hAnsi="Times New Roman" w:cs="Times New Roman"/>
          <w:b/>
          <w:bCs/>
        </w:rPr>
      </w:pPr>
    </w:p>
    <w:p w14:paraId="74C373B5" w14:textId="77777777" w:rsidR="006829A3" w:rsidRDefault="006829A3" w:rsidP="00723E5D">
      <w:pPr>
        <w:rPr>
          <w:rFonts w:ascii="Times New Roman" w:hAnsi="Times New Roman" w:cs="Times New Roman"/>
          <w:b/>
          <w:bCs/>
        </w:rPr>
      </w:pPr>
    </w:p>
    <w:p w14:paraId="34D4AE09" w14:textId="7189C87B" w:rsidR="00723E5D" w:rsidRPr="00E27980" w:rsidRDefault="00723E5D" w:rsidP="00723E5D">
      <w:pPr>
        <w:rPr>
          <w:rFonts w:ascii="Times New Roman" w:hAnsi="Times New Roman" w:cs="Times New Roman"/>
          <w:b/>
          <w:bCs/>
        </w:rPr>
      </w:pPr>
      <w:r w:rsidRPr="00E27980">
        <w:rPr>
          <w:rFonts w:ascii="Times New Roman" w:hAnsi="Times New Roman" w:cs="Times New Roman"/>
          <w:b/>
          <w:bCs/>
        </w:rPr>
        <w:t>Prihodi poslovanja</w:t>
      </w:r>
    </w:p>
    <w:p w14:paraId="6526D801" w14:textId="0C3A11C8" w:rsidR="00B26451" w:rsidRPr="0091054B" w:rsidRDefault="00B26451" w:rsidP="0091054B">
      <w:pPr>
        <w:widowControl/>
        <w:suppressAutoHyphens w:val="0"/>
        <w:autoSpaceDN/>
        <w:spacing w:after="0"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Pomoći iz inozemstva i od subjekata unutar općeg proračuna (skupina 63</w:t>
      </w:r>
      <w:r w:rsidR="00C302A9" w:rsidRPr="0091054B">
        <w:rPr>
          <w:rFonts w:ascii="Times New Roman" w:eastAsia="Symbol" w:hAnsi="Times New Roman" w:cs="Times New Roman"/>
          <w:kern w:val="0"/>
          <w:lang w:val="pl-PL" w:eastAsia="hr-HR"/>
        </w:rPr>
        <w:t xml:space="preserve"> / izvor Pomoći</w:t>
      </w:r>
      <w:r w:rsidRPr="0091054B">
        <w:rPr>
          <w:rFonts w:ascii="Times New Roman" w:eastAsia="Symbol" w:hAnsi="Times New Roman" w:cs="Times New Roman"/>
          <w:kern w:val="0"/>
          <w:lang w:val="pl-PL" w:eastAsia="hr-HR"/>
        </w:rPr>
        <w:t xml:space="preserve">) </w:t>
      </w:r>
      <w:r w:rsidR="004F7D4B" w:rsidRPr="0091054B">
        <w:rPr>
          <w:rFonts w:ascii="Times New Roman" w:eastAsia="Symbol" w:hAnsi="Times New Roman" w:cs="Times New Roman"/>
          <w:kern w:val="0"/>
          <w:lang w:val="pl-PL" w:eastAsia="hr-HR"/>
        </w:rPr>
        <w:t xml:space="preserve">– odnosi se na prihod </w:t>
      </w:r>
      <w:r w:rsidR="00A84517" w:rsidRPr="0091054B">
        <w:rPr>
          <w:rFonts w:ascii="Times New Roman" w:eastAsia="Symbol" w:hAnsi="Times New Roman" w:cs="Times New Roman"/>
          <w:kern w:val="0"/>
          <w:lang w:val="pl-PL" w:eastAsia="hr-HR"/>
        </w:rPr>
        <w:t>od</w:t>
      </w:r>
      <w:r w:rsidR="004F7D4B" w:rsidRPr="0091054B">
        <w:rPr>
          <w:rFonts w:ascii="Times New Roman" w:eastAsia="Symbol" w:hAnsi="Times New Roman" w:cs="Times New Roman"/>
          <w:kern w:val="0"/>
          <w:lang w:val="pl-PL" w:eastAsia="hr-HR"/>
        </w:rPr>
        <w:t xml:space="preserve"> refundacij</w:t>
      </w:r>
      <w:r w:rsidR="00A84517" w:rsidRPr="0091054B">
        <w:rPr>
          <w:rFonts w:ascii="Times New Roman" w:eastAsia="Symbol" w:hAnsi="Times New Roman" w:cs="Times New Roman"/>
          <w:kern w:val="0"/>
          <w:lang w:val="pl-PL" w:eastAsia="hr-HR"/>
        </w:rPr>
        <w:t>a</w:t>
      </w:r>
      <w:r w:rsidR="004F7D4B" w:rsidRPr="0091054B">
        <w:rPr>
          <w:rFonts w:ascii="Times New Roman" w:eastAsia="Symbol" w:hAnsi="Times New Roman" w:cs="Times New Roman"/>
          <w:kern w:val="0"/>
          <w:lang w:val="pl-PL" w:eastAsia="hr-HR"/>
        </w:rPr>
        <w:t xml:space="preserve"> isplate posebne nagrade radnicima u sustavu zdravstva koji obavljaju poslove vezane za pružanje zdravstvene skrbi pacijentima oboljelima od bolesti Covid-19, prihod </w:t>
      </w:r>
      <w:r w:rsidR="00A84517" w:rsidRPr="0091054B">
        <w:rPr>
          <w:rFonts w:ascii="Times New Roman" w:eastAsia="Symbol" w:hAnsi="Times New Roman" w:cs="Times New Roman"/>
          <w:kern w:val="0"/>
          <w:lang w:val="pl-PL" w:eastAsia="hr-HR"/>
        </w:rPr>
        <w:t xml:space="preserve">od </w:t>
      </w:r>
      <w:r w:rsidR="004F7D4B" w:rsidRPr="0091054B">
        <w:rPr>
          <w:rFonts w:ascii="Times New Roman" w:eastAsia="Symbol" w:hAnsi="Times New Roman" w:cs="Times New Roman"/>
          <w:kern w:val="0"/>
          <w:lang w:val="pl-PL" w:eastAsia="hr-HR"/>
        </w:rPr>
        <w:t xml:space="preserve">jedinica lokalne samouprave za financiranje dodatnih timova hitne medicine, prihod od Europskog socijalnog fonda za financiranje osam specijalizacija doktora iz hitne medicine, prihod iz Nacionalnog plana oporavka i otpornosti za financiranje sedam specijalizacija doktora medicine i dvadeset pet medicinskih tehničara iz hitne medicine, prihod za refundaciju isplate privremenog dodatka te </w:t>
      </w:r>
      <w:r w:rsidR="00A84517" w:rsidRPr="0091054B">
        <w:rPr>
          <w:rFonts w:ascii="Times New Roman" w:eastAsia="Symbol" w:hAnsi="Times New Roman" w:cs="Times New Roman"/>
          <w:kern w:val="0"/>
          <w:lang w:val="pl-PL" w:eastAsia="hr-HR"/>
        </w:rPr>
        <w:t xml:space="preserve">prihod od </w:t>
      </w:r>
      <w:r w:rsidR="004F7D4B" w:rsidRPr="0091054B">
        <w:rPr>
          <w:rFonts w:ascii="Times New Roman" w:eastAsia="Symbol" w:hAnsi="Times New Roman" w:cs="Times New Roman"/>
          <w:kern w:val="0"/>
          <w:lang w:val="pl-PL" w:eastAsia="hr-HR"/>
        </w:rPr>
        <w:t xml:space="preserve">refundacija isplata pravomoćnih sudskih presuda za prekovremeni rad i osnovicu. U </w:t>
      </w:r>
      <w:r w:rsidRPr="0091054B">
        <w:rPr>
          <w:rFonts w:ascii="Times New Roman" w:eastAsia="Symbol" w:hAnsi="Times New Roman" w:cs="Times New Roman"/>
          <w:kern w:val="0"/>
          <w:lang w:val="pl-PL" w:eastAsia="hr-HR"/>
        </w:rPr>
        <w:t xml:space="preserve">2024.g. </w:t>
      </w:r>
      <w:r w:rsidR="004F7D4B" w:rsidRPr="0091054B">
        <w:rPr>
          <w:rFonts w:ascii="Times New Roman" w:eastAsia="Symbol" w:hAnsi="Times New Roman" w:cs="Times New Roman"/>
          <w:kern w:val="0"/>
          <w:lang w:val="pl-PL" w:eastAsia="hr-HR"/>
        </w:rPr>
        <w:t xml:space="preserve">ova vrsta prihoda </w:t>
      </w:r>
      <w:r w:rsidRPr="0091054B">
        <w:rPr>
          <w:rFonts w:ascii="Times New Roman" w:eastAsia="Symbol" w:hAnsi="Times New Roman" w:cs="Times New Roman"/>
          <w:kern w:val="0"/>
          <w:lang w:val="pl-PL" w:eastAsia="hr-HR"/>
        </w:rPr>
        <w:t>planira</w:t>
      </w:r>
      <w:r w:rsidR="00103D7E" w:rsidRPr="0091054B">
        <w:rPr>
          <w:rFonts w:ascii="Times New Roman" w:eastAsia="Symbol" w:hAnsi="Times New Roman" w:cs="Times New Roman"/>
          <w:kern w:val="0"/>
          <w:lang w:val="pl-PL" w:eastAsia="hr-HR"/>
        </w:rPr>
        <w:t xml:space="preserve"> se</w:t>
      </w:r>
      <w:r w:rsidRPr="0091054B">
        <w:rPr>
          <w:rFonts w:ascii="Times New Roman" w:eastAsia="Symbol" w:hAnsi="Times New Roman" w:cs="Times New Roman"/>
          <w:kern w:val="0"/>
          <w:lang w:val="pl-PL" w:eastAsia="hr-HR"/>
        </w:rPr>
        <w:t xml:space="preserve"> u iznosu od </w:t>
      </w:r>
      <w:r w:rsidR="00103D7E" w:rsidRPr="0091054B">
        <w:rPr>
          <w:rFonts w:ascii="Times New Roman" w:eastAsia="Symbol" w:hAnsi="Times New Roman" w:cs="Times New Roman"/>
          <w:kern w:val="0"/>
          <w:lang w:val="pl-PL" w:eastAsia="hr-HR"/>
        </w:rPr>
        <w:t>2.969.000,00</w:t>
      </w:r>
      <w:r w:rsidRPr="0091054B">
        <w:rPr>
          <w:rFonts w:ascii="Times New Roman" w:eastAsia="Symbol" w:hAnsi="Times New Roman" w:cs="Times New Roman"/>
          <w:kern w:val="0"/>
          <w:lang w:val="pl-PL" w:eastAsia="hr-HR"/>
        </w:rPr>
        <w:t xml:space="preserve"> eura što je </w:t>
      </w:r>
      <w:r w:rsidR="00103D7E" w:rsidRPr="0091054B">
        <w:rPr>
          <w:rFonts w:ascii="Times New Roman" w:eastAsia="Symbol" w:hAnsi="Times New Roman" w:cs="Times New Roman"/>
          <w:kern w:val="0"/>
          <w:lang w:val="pl-PL" w:eastAsia="hr-HR"/>
        </w:rPr>
        <w:t>572.152,18</w:t>
      </w:r>
      <w:r w:rsidRPr="0091054B">
        <w:rPr>
          <w:rFonts w:ascii="Times New Roman" w:eastAsia="Symbol" w:hAnsi="Times New Roman" w:cs="Times New Roman"/>
          <w:kern w:val="0"/>
          <w:lang w:val="pl-PL" w:eastAsia="hr-HR"/>
        </w:rPr>
        <w:t xml:space="preserve"> eura ili </w:t>
      </w:r>
      <w:r w:rsidR="00103D7E" w:rsidRPr="0091054B">
        <w:rPr>
          <w:rFonts w:ascii="Times New Roman" w:eastAsia="Symbol" w:hAnsi="Times New Roman" w:cs="Times New Roman"/>
          <w:kern w:val="0"/>
          <w:lang w:val="pl-PL" w:eastAsia="hr-HR"/>
        </w:rPr>
        <w:t>23,9</w:t>
      </w:r>
      <w:r w:rsidRPr="0091054B">
        <w:rPr>
          <w:rFonts w:ascii="Times New Roman" w:eastAsia="Symbol" w:hAnsi="Times New Roman" w:cs="Times New Roman"/>
          <w:kern w:val="0"/>
          <w:lang w:val="pl-PL" w:eastAsia="hr-HR"/>
        </w:rPr>
        <w:t xml:space="preserve">% više u odnosu na Rebalans br. II u 2023.g., odnosno </w:t>
      </w:r>
      <w:r w:rsidR="00103D7E" w:rsidRPr="0091054B">
        <w:rPr>
          <w:rFonts w:ascii="Times New Roman" w:eastAsia="Symbol" w:hAnsi="Times New Roman" w:cs="Times New Roman"/>
          <w:kern w:val="0"/>
          <w:lang w:val="pl-PL" w:eastAsia="hr-HR"/>
        </w:rPr>
        <w:t>1.432.456,09</w:t>
      </w:r>
      <w:r w:rsidRPr="0091054B">
        <w:rPr>
          <w:rFonts w:ascii="Times New Roman" w:eastAsia="Symbol" w:hAnsi="Times New Roman" w:cs="Times New Roman"/>
          <w:kern w:val="0"/>
          <w:lang w:val="pl-PL" w:eastAsia="hr-HR"/>
        </w:rPr>
        <w:t xml:space="preserve"> eura ili </w:t>
      </w:r>
      <w:r w:rsidR="00103D7E" w:rsidRPr="0091054B">
        <w:rPr>
          <w:rFonts w:ascii="Times New Roman" w:eastAsia="Symbol" w:hAnsi="Times New Roman" w:cs="Times New Roman"/>
          <w:kern w:val="0"/>
          <w:lang w:val="pl-PL" w:eastAsia="hr-HR"/>
        </w:rPr>
        <w:t>93,2</w:t>
      </w:r>
      <w:r w:rsidRPr="0091054B">
        <w:rPr>
          <w:rFonts w:ascii="Times New Roman" w:eastAsia="Symbol" w:hAnsi="Times New Roman" w:cs="Times New Roman"/>
          <w:kern w:val="0"/>
          <w:lang w:val="pl-PL" w:eastAsia="hr-HR"/>
        </w:rPr>
        <w:t xml:space="preserve">% više u odnosu na ostvarenje u 2022.g. Projekcija </w:t>
      </w:r>
      <w:r w:rsidR="004F7D4B" w:rsidRPr="0091054B">
        <w:rPr>
          <w:rFonts w:ascii="Times New Roman" w:eastAsia="Symbol" w:hAnsi="Times New Roman" w:cs="Times New Roman"/>
          <w:kern w:val="0"/>
          <w:lang w:val="pl-PL" w:eastAsia="hr-HR"/>
        </w:rPr>
        <w:t>za</w:t>
      </w:r>
      <w:r w:rsidRPr="0091054B">
        <w:rPr>
          <w:rFonts w:ascii="Times New Roman" w:eastAsia="Symbol" w:hAnsi="Times New Roman" w:cs="Times New Roman"/>
          <w:kern w:val="0"/>
          <w:lang w:val="pl-PL" w:eastAsia="hr-HR"/>
        </w:rPr>
        <w:t xml:space="preserve"> 2025.g. iznosi </w:t>
      </w:r>
      <w:r w:rsidR="004910C1" w:rsidRPr="0091054B">
        <w:rPr>
          <w:rFonts w:ascii="Times New Roman" w:eastAsia="Symbol" w:hAnsi="Times New Roman" w:cs="Times New Roman"/>
          <w:kern w:val="0"/>
          <w:lang w:val="pl-PL" w:eastAsia="hr-HR"/>
        </w:rPr>
        <w:t>1.778.800,00</w:t>
      </w:r>
      <w:r w:rsidRPr="0091054B">
        <w:rPr>
          <w:rFonts w:ascii="Times New Roman" w:eastAsia="Symbol" w:hAnsi="Times New Roman" w:cs="Times New Roman"/>
          <w:kern w:val="0"/>
          <w:lang w:val="pl-PL" w:eastAsia="hr-HR"/>
        </w:rPr>
        <w:t xml:space="preserve"> eura što je </w:t>
      </w:r>
      <w:r w:rsidR="004910C1" w:rsidRPr="0091054B">
        <w:rPr>
          <w:rFonts w:ascii="Times New Roman" w:eastAsia="Symbol" w:hAnsi="Times New Roman" w:cs="Times New Roman"/>
          <w:kern w:val="0"/>
          <w:lang w:val="pl-PL" w:eastAsia="hr-HR"/>
        </w:rPr>
        <w:t>1.190.200,00</w:t>
      </w:r>
      <w:r w:rsidRPr="0091054B">
        <w:rPr>
          <w:rFonts w:ascii="Times New Roman" w:eastAsia="Symbol" w:hAnsi="Times New Roman" w:cs="Times New Roman"/>
          <w:kern w:val="0"/>
          <w:lang w:val="pl-PL" w:eastAsia="hr-HR"/>
        </w:rPr>
        <w:t xml:space="preserve"> eura ili </w:t>
      </w:r>
      <w:r w:rsidR="004910C1" w:rsidRPr="0091054B">
        <w:rPr>
          <w:rFonts w:ascii="Times New Roman" w:eastAsia="Symbol" w:hAnsi="Times New Roman" w:cs="Times New Roman"/>
          <w:kern w:val="0"/>
          <w:lang w:val="pl-PL" w:eastAsia="hr-HR"/>
        </w:rPr>
        <w:t>40,1</w:t>
      </w:r>
      <w:r w:rsidRPr="0091054B">
        <w:rPr>
          <w:rFonts w:ascii="Times New Roman" w:eastAsia="Symbol" w:hAnsi="Times New Roman" w:cs="Times New Roman"/>
          <w:kern w:val="0"/>
          <w:lang w:val="pl-PL" w:eastAsia="hr-HR"/>
        </w:rPr>
        <w:t xml:space="preserve">% manje od planiranog u 2024.g. </w:t>
      </w:r>
      <w:r w:rsidR="004910C1" w:rsidRPr="0091054B">
        <w:rPr>
          <w:rFonts w:ascii="Times New Roman" w:eastAsia="Symbol" w:hAnsi="Times New Roman" w:cs="Times New Roman"/>
          <w:kern w:val="0"/>
          <w:lang w:val="pl-PL" w:eastAsia="hr-HR"/>
        </w:rPr>
        <w:t>jer se očekuje donošenje novog zakona o plaćama koja će obuhvatiti privremeni dodatak te stoga u 2025.g. pa nadalje privremeni dodatak neće biti financiran iz izvora pomoći</w:t>
      </w:r>
      <w:r w:rsidR="00E27980" w:rsidRPr="0091054B">
        <w:rPr>
          <w:rFonts w:ascii="Times New Roman" w:eastAsia="Symbol" w:hAnsi="Times New Roman" w:cs="Times New Roman"/>
          <w:kern w:val="0"/>
          <w:lang w:val="pl-PL" w:eastAsia="hr-HR"/>
        </w:rPr>
        <w:t xml:space="preserve"> te da će sve presude za prekovr</w:t>
      </w:r>
      <w:r w:rsidR="00833D29" w:rsidRPr="0091054B">
        <w:rPr>
          <w:rFonts w:ascii="Times New Roman" w:eastAsia="Symbol" w:hAnsi="Times New Roman" w:cs="Times New Roman"/>
          <w:kern w:val="0"/>
          <w:lang w:val="pl-PL" w:eastAsia="hr-HR"/>
        </w:rPr>
        <w:t>e</w:t>
      </w:r>
      <w:r w:rsidR="00E27980" w:rsidRPr="0091054B">
        <w:rPr>
          <w:rFonts w:ascii="Times New Roman" w:eastAsia="Symbol" w:hAnsi="Times New Roman" w:cs="Times New Roman"/>
          <w:kern w:val="0"/>
          <w:lang w:val="pl-PL" w:eastAsia="hr-HR"/>
        </w:rPr>
        <w:t>meni i osnovicu biti refundirane tijekom 2024.g.</w:t>
      </w:r>
      <w:r w:rsidR="004910C1" w:rsidRPr="0091054B">
        <w:rPr>
          <w:rFonts w:ascii="Times New Roman" w:eastAsia="Symbol" w:hAnsi="Times New Roman" w:cs="Times New Roman"/>
          <w:kern w:val="0"/>
          <w:lang w:val="pl-PL" w:eastAsia="hr-HR"/>
        </w:rPr>
        <w:t xml:space="preserve"> P</w:t>
      </w:r>
      <w:r w:rsidRPr="0091054B">
        <w:rPr>
          <w:rFonts w:ascii="Times New Roman" w:eastAsia="Symbol" w:hAnsi="Times New Roman" w:cs="Times New Roman"/>
          <w:kern w:val="0"/>
          <w:lang w:val="pl-PL" w:eastAsia="hr-HR"/>
        </w:rPr>
        <w:t xml:space="preserve">rojekcija za 2026.g. iznosi </w:t>
      </w:r>
      <w:r w:rsidR="004910C1" w:rsidRPr="0091054B">
        <w:rPr>
          <w:rFonts w:ascii="Times New Roman" w:eastAsia="Symbol" w:hAnsi="Times New Roman" w:cs="Times New Roman"/>
          <w:kern w:val="0"/>
          <w:lang w:val="pl-PL" w:eastAsia="hr-HR"/>
        </w:rPr>
        <w:t>1.446.300,00</w:t>
      </w:r>
      <w:r w:rsidRPr="0091054B">
        <w:rPr>
          <w:rFonts w:ascii="Times New Roman" w:eastAsia="Symbol" w:hAnsi="Times New Roman" w:cs="Times New Roman"/>
          <w:kern w:val="0"/>
          <w:lang w:val="pl-PL" w:eastAsia="hr-HR"/>
        </w:rPr>
        <w:t xml:space="preserve"> eura što je </w:t>
      </w:r>
      <w:r w:rsidR="004910C1" w:rsidRPr="0091054B">
        <w:rPr>
          <w:rFonts w:ascii="Times New Roman" w:eastAsia="Symbol" w:hAnsi="Times New Roman" w:cs="Times New Roman"/>
          <w:kern w:val="0"/>
          <w:lang w:val="pl-PL" w:eastAsia="hr-HR"/>
        </w:rPr>
        <w:t>332.500,00</w:t>
      </w:r>
      <w:r w:rsidRPr="0091054B">
        <w:rPr>
          <w:rFonts w:ascii="Times New Roman" w:eastAsia="Symbol" w:hAnsi="Times New Roman" w:cs="Times New Roman"/>
          <w:kern w:val="0"/>
          <w:lang w:val="pl-PL" w:eastAsia="hr-HR"/>
        </w:rPr>
        <w:t xml:space="preserve"> eura ili </w:t>
      </w:r>
      <w:r w:rsidR="004910C1" w:rsidRPr="0091054B">
        <w:rPr>
          <w:rFonts w:ascii="Times New Roman" w:eastAsia="Symbol" w:hAnsi="Times New Roman" w:cs="Times New Roman"/>
          <w:kern w:val="0"/>
          <w:lang w:val="pl-PL" w:eastAsia="hr-HR"/>
        </w:rPr>
        <w:t>18,7</w:t>
      </w:r>
      <w:r w:rsidRPr="0091054B">
        <w:rPr>
          <w:rFonts w:ascii="Times New Roman" w:eastAsia="Symbol" w:hAnsi="Times New Roman" w:cs="Times New Roman"/>
          <w:kern w:val="0"/>
          <w:lang w:val="pl-PL" w:eastAsia="hr-HR"/>
        </w:rPr>
        <w:t xml:space="preserve">% manje od 2025.g. </w:t>
      </w:r>
      <w:r w:rsidR="004910C1" w:rsidRPr="0091054B">
        <w:rPr>
          <w:rFonts w:ascii="Times New Roman" w:eastAsia="Symbol" w:hAnsi="Times New Roman" w:cs="Times New Roman"/>
          <w:kern w:val="0"/>
          <w:lang w:val="pl-PL" w:eastAsia="hr-HR"/>
        </w:rPr>
        <w:t>jer se očekuje da će sve specijali</w:t>
      </w:r>
      <w:r w:rsidR="00E27980" w:rsidRPr="0091054B">
        <w:rPr>
          <w:rFonts w:ascii="Times New Roman" w:eastAsia="Symbol" w:hAnsi="Times New Roman" w:cs="Times New Roman"/>
          <w:kern w:val="0"/>
          <w:lang w:val="pl-PL" w:eastAsia="hr-HR"/>
        </w:rPr>
        <w:t xml:space="preserve">zacije medicinskih tehničara prvostupnika sestrinstva biti okončane do kraja 2025.g. </w:t>
      </w:r>
    </w:p>
    <w:p w14:paraId="135F2CD2" w14:textId="77777777" w:rsidR="00C302A9" w:rsidRPr="0091054B" w:rsidRDefault="00C302A9" w:rsidP="0091054B">
      <w:pPr>
        <w:widowControl/>
        <w:suppressAutoHyphens w:val="0"/>
        <w:autoSpaceDN/>
        <w:spacing w:after="0" w:line="240" w:lineRule="auto"/>
        <w:jc w:val="both"/>
        <w:rPr>
          <w:rFonts w:ascii="Times New Roman" w:eastAsia="Symbol" w:hAnsi="Times New Roman" w:cs="Times New Roman"/>
          <w:kern w:val="0"/>
          <w:lang w:val="pl-PL" w:eastAsia="hr-HR"/>
        </w:rPr>
      </w:pPr>
    </w:p>
    <w:p w14:paraId="77B822A5" w14:textId="3CDCB306" w:rsidR="00833D29" w:rsidRPr="0091054B" w:rsidRDefault="00833D29" w:rsidP="00C97AA2">
      <w:pPr>
        <w:widowControl/>
        <w:suppressAutoHyphens w:val="0"/>
        <w:autoSpaceDN/>
        <w:spacing w:after="0"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Prihodi od imovine (skupina 64</w:t>
      </w:r>
      <w:r w:rsidR="00C302A9" w:rsidRPr="0091054B">
        <w:rPr>
          <w:rFonts w:ascii="Times New Roman" w:eastAsia="Symbol" w:hAnsi="Times New Roman" w:cs="Times New Roman"/>
          <w:kern w:val="0"/>
          <w:lang w:val="pl-PL" w:eastAsia="hr-HR"/>
        </w:rPr>
        <w:t xml:space="preserve"> / izvor Vlastiti prihodi</w:t>
      </w:r>
      <w:r w:rsidRPr="0091054B">
        <w:rPr>
          <w:rFonts w:ascii="Times New Roman" w:eastAsia="Symbol" w:hAnsi="Times New Roman" w:cs="Times New Roman"/>
          <w:kern w:val="0"/>
          <w:lang w:val="pl-PL" w:eastAsia="hr-HR"/>
        </w:rPr>
        <w:t>) – prihodi od pozitivnih tečajnih razlika i od kamata kroz sve tri godine planiraju se u iznosu od 100,00 eura jer se na očekuje značajno povećanje ove vrste prihoda.</w:t>
      </w:r>
    </w:p>
    <w:p w14:paraId="793391A5" w14:textId="1E398877" w:rsidR="00B26451" w:rsidRPr="0091054B" w:rsidRDefault="00B26451" w:rsidP="00C97AA2">
      <w:pPr>
        <w:widowControl/>
        <w:suppressAutoHyphens w:val="0"/>
        <w:autoSpaceDN/>
        <w:spacing w:after="0" w:line="240" w:lineRule="auto"/>
        <w:jc w:val="both"/>
        <w:rPr>
          <w:rFonts w:ascii="Times New Roman" w:eastAsia="Symbol" w:hAnsi="Times New Roman" w:cs="Times New Roman"/>
          <w:kern w:val="0"/>
          <w:lang w:val="pl-PL" w:eastAsia="hr-HR"/>
        </w:rPr>
      </w:pPr>
    </w:p>
    <w:p w14:paraId="1DA17C16" w14:textId="474C6613" w:rsidR="00A84517" w:rsidRDefault="00833D29" w:rsidP="00ED36BB">
      <w:pPr>
        <w:widowControl/>
        <w:suppressAutoHyphens w:val="0"/>
        <w:autoSpaceDN/>
        <w:spacing w:after="0" w:line="240" w:lineRule="auto"/>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Prihodi od upravnih i administrativnih pristojbi, pristojbi po posebnim propisima i naknada</w:t>
      </w:r>
      <w:r w:rsidR="002C3AD3" w:rsidRPr="0091054B">
        <w:rPr>
          <w:rFonts w:ascii="Times New Roman" w:eastAsia="Symbol" w:hAnsi="Times New Roman" w:cs="Times New Roman"/>
          <w:kern w:val="0"/>
          <w:lang w:val="pl-PL" w:eastAsia="hr-HR"/>
        </w:rPr>
        <w:t>ma</w:t>
      </w:r>
      <w:r w:rsidRPr="0091054B">
        <w:rPr>
          <w:rFonts w:ascii="Times New Roman" w:eastAsia="Symbol" w:hAnsi="Times New Roman" w:cs="Times New Roman"/>
          <w:kern w:val="0"/>
          <w:lang w:val="pl-PL" w:eastAsia="hr-HR"/>
        </w:rPr>
        <w:t xml:space="preserve"> (skupina 65) – </w:t>
      </w:r>
      <w:r w:rsidR="002C3AD3" w:rsidRPr="0091054B">
        <w:rPr>
          <w:rFonts w:ascii="Times New Roman" w:eastAsia="Symbol" w:hAnsi="Times New Roman" w:cs="Times New Roman"/>
          <w:kern w:val="0"/>
          <w:lang w:val="pl-PL" w:eastAsia="hr-HR"/>
        </w:rPr>
        <w:t xml:space="preserve">odnosi se na </w:t>
      </w:r>
      <w:r w:rsidRPr="0091054B">
        <w:rPr>
          <w:rFonts w:ascii="Times New Roman" w:eastAsia="Symbol" w:hAnsi="Times New Roman" w:cs="Times New Roman"/>
          <w:kern w:val="0"/>
          <w:lang w:val="pl-PL" w:eastAsia="hr-HR"/>
        </w:rPr>
        <w:t>prihod od refundacija šteta na vozilima od osiguravajuće kuće</w:t>
      </w:r>
      <w:r w:rsidR="002C3AD3" w:rsidRPr="0091054B">
        <w:rPr>
          <w:rFonts w:ascii="Times New Roman" w:eastAsia="Symbol" w:hAnsi="Times New Roman" w:cs="Times New Roman"/>
          <w:kern w:val="0"/>
          <w:lang w:val="pl-PL" w:eastAsia="hr-HR"/>
        </w:rPr>
        <w:t>. U</w:t>
      </w:r>
      <w:r w:rsidRPr="0091054B">
        <w:rPr>
          <w:rFonts w:ascii="Times New Roman" w:eastAsia="Symbol" w:hAnsi="Times New Roman" w:cs="Times New Roman"/>
          <w:kern w:val="0"/>
          <w:lang w:val="pl-PL" w:eastAsia="hr-HR"/>
        </w:rPr>
        <w:t xml:space="preserve"> 2024.g. planira se u iznosu od 19.900,00 eura dok u iduće dvije godine se očekuje povećanje od 2,5 % </w:t>
      </w:r>
      <w:r w:rsidR="002C3AD3" w:rsidRPr="0091054B">
        <w:rPr>
          <w:rFonts w:ascii="Times New Roman" w:eastAsia="Symbol" w:hAnsi="Times New Roman" w:cs="Times New Roman"/>
          <w:kern w:val="0"/>
          <w:lang w:val="pl-PL" w:eastAsia="hr-HR"/>
        </w:rPr>
        <w:t>godišnje.</w:t>
      </w:r>
    </w:p>
    <w:p w14:paraId="3E992175" w14:textId="77777777" w:rsidR="00ED36BB" w:rsidRPr="0091054B" w:rsidRDefault="00ED36BB" w:rsidP="00ED36BB">
      <w:pPr>
        <w:widowControl/>
        <w:suppressAutoHyphens w:val="0"/>
        <w:autoSpaceDN/>
        <w:spacing w:after="0" w:line="240" w:lineRule="auto"/>
        <w:rPr>
          <w:rFonts w:ascii="Times New Roman" w:eastAsia="Symbol" w:hAnsi="Times New Roman" w:cs="Times New Roman"/>
          <w:kern w:val="0"/>
          <w:lang w:val="pl-PL" w:eastAsia="hr-HR"/>
        </w:rPr>
      </w:pPr>
    </w:p>
    <w:p w14:paraId="528188BE" w14:textId="61CE21AE" w:rsidR="00723E5D" w:rsidRPr="0091054B" w:rsidRDefault="002C3AD3" w:rsidP="00C97AA2">
      <w:pPr>
        <w:spacing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Prihodi od prodaje proizvoda i robe te pruženih usluga i prihodi od donacija (skupina 66</w:t>
      </w:r>
      <w:r w:rsidR="00C302A9" w:rsidRPr="0091054B">
        <w:rPr>
          <w:rFonts w:ascii="Times New Roman" w:eastAsia="Symbol" w:hAnsi="Times New Roman" w:cs="Times New Roman"/>
          <w:kern w:val="0"/>
          <w:lang w:val="pl-PL" w:eastAsia="hr-HR"/>
        </w:rPr>
        <w:t xml:space="preserve"> / izvor Vlastiti prihodi</w:t>
      </w:r>
      <w:r w:rsidRPr="0091054B">
        <w:rPr>
          <w:rFonts w:ascii="Times New Roman" w:eastAsia="Symbol" w:hAnsi="Times New Roman" w:cs="Times New Roman"/>
          <w:kern w:val="0"/>
          <w:lang w:val="pl-PL" w:eastAsia="hr-HR"/>
        </w:rPr>
        <w:t xml:space="preserve">) </w:t>
      </w:r>
      <w:r w:rsidR="00093E32" w:rsidRPr="0091054B">
        <w:rPr>
          <w:rFonts w:ascii="Times New Roman" w:eastAsia="Symbol" w:hAnsi="Times New Roman" w:cs="Times New Roman"/>
          <w:kern w:val="0"/>
          <w:lang w:val="pl-PL" w:eastAsia="hr-HR"/>
        </w:rPr>
        <w:t>–</w:t>
      </w:r>
      <w:r w:rsidR="00C1375C" w:rsidRPr="0091054B">
        <w:rPr>
          <w:rFonts w:ascii="Times New Roman" w:eastAsia="Symbol" w:hAnsi="Times New Roman" w:cs="Times New Roman"/>
          <w:kern w:val="0"/>
          <w:lang w:val="pl-PL" w:eastAsia="hr-HR"/>
        </w:rPr>
        <w:t xml:space="preserve"> odnosi </w:t>
      </w:r>
      <w:r w:rsidR="00093E32" w:rsidRPr="0091054B">
        <w:rPr>
          <w:rFonts w:ascii="Times New Roman" w:eastAsia="Symbol" w:hAnsi="Times New Roman" w:cs="Times New Roman"/>
          <w:kern w:val="0"/>
          <w:lang w:val="pl-PL" w:eastAsia="hr-HR"/>
        </w:rPr>
        <w:t xml:space="preserve">se </w:t>
      </w:r>
      <w:r w:rsidR="00C1375C" w:rsidRPr="0091054B">
        <w:rPr>
          <w:rFonts w:ascii="Times New Roman" w:eastAsia="Symbol" w:hAnsi="Times New Roman" w:cs="Times New Roman"/>
          <w:kern w:val="0"/>
          <w:lang w:val="pl-PL" w:eastAsia="hr-HR"/>
        </w:rPr>
        <w:t xml:space="preserve">na prihod </w:t>
      </w:r>
      <w:r w:rsidR="00093E32" w:rsidRPr="0091054B">
        <w:rPr>
          <w:rFonts w:ascii="Times New Roman" w:eastAsia="Symbol" w:hAnsi="Times New Roman" w:cs="Times New Roman"/>
          <w:kern w:val="0"/>
          <w:lang w:val="pl-PL" w:eastAsia="hr-HR"/>
        </w:rPr>
        <w:t>od  pruženih zdravstvenih usluga osobama bez osiguranja (uglavnom strani državljani koji dolaze iz država koje nisu članice Europske unije), prihod od usluga dežurstva timova hitne medicine na raznim događajima (sportskim, komercijalnim i dr.), prihod od refundacije plaća specijalizanata za odrađena dežurstva u KBC-u Split, prihoda za pružene usluge pripravnosti doktora medicine i prihoda od edukacija iz hitne medicine.</w:t>
      </w:r>
      <w:r w:rsidR="00C1375C" w:rsidRPr="0091054B">
        <w:rPr>
          <w:rFonts w:ascii="Times New Roman" w:eastAsia="Symbol" w:hAnsi="Times New Roman" w:cs="Times New Roman"/>
          <w:kern w:val="0"/>
          <w:lang w:val="pl-PL" w:eastAsia="hr-HR"/>
        </w:rPr>
        <w:t xml:space="preserve"> U 2024.g. ova vrsta prihoda planira se u iznosu od 270.000,00 eura što je 30.000,00 eura ili 10 % manje u odnosu na </w:t>
      </w:r>
      <w:r w:rsidR="00A84517" w:rsidRPr="0091054B">
        <w:rPr>
          <w:rFonts w:ascii="Times New Roman" w:eastAsia="Symbol" w:hAnsi="Times New Roman" w:cs="Times New Roman"/>
          <w:kern w:val="0"/>
          <w:lang w:val="pl-PL" w:eastAsia="hr-HR"/>
        </w:rPr>
        <w:t>plan za 2023.g.</w:t>
      </w:r>
      <w:r w:rsidR="00C1375C" w:rsidRPr="0091054B">
        <w:rPr>
          <w:rFonts w:ascii="Times New Roman" w:eastAsia="Symbol" w:hAnsi="Times New Roman" w:cs="Times New Roman"/>
          <w:kern w:val="0"/>
          <w:lang w:val="pl-PL" w:eastAsia="hr-HR"/>
        </w:rPr>
        <w:t xml:space="preserve">, odnosno 53.185,32 eura ili 16,5% manje u odnosu na ostvarenje u 2022.g. jer se očekuje manje prihoda od refundacija plaća za specijalizante. Projekcija za 2025.g. </w:t>
      </w:r>
      <w:r w:rsidR="00BB0D5A" w:rsidRPr="0091054B">
        <w:rPr>
          <w:rFonts w:ascii="Times New Roman" w:eastAsia="Symbol" w:hAnsi="Times New Roman" w:cs="Times New Roman"/>
          <w:kern w:val="0"/>
          <w:lang w:val="pl-PL" w:eastAsia="hr-HR"/>
        </w:rPr>
        <w:t xml:space="preserve">iznosi </w:t>
      </w:r>
      <w:r w:rsidR="00C1375C" w:rsidRPr="0091054B">
        <w:rPr>
          <w:rFonts w:ascii="Times New Roman" w:eastAsia="Symbol" w:hAnsi="Times New Roman" w:cs="Times New Roman"/>
          <w:kern w:val="0"/>
          <w:lang w:val="pl-PL" w:eastAsia="hr-HR"/>
        </w:rPr>
        <w:t xml:space="preserve">280.000,00 eura što je 10.000,00 eura ili 3,7 % više nego u 2024.g. </w:t>
      </w:r>
      <w:r w:rsidR="00BB0D5A" w:rsidRPr="0091054B">
        <w:rPr>
          <w:rFonts w:ascii="Times New Roman" w:eastAsia="Symbol" w:hAnsi="Times New Roman" w:cs="Times New Roman"/>
          <w:kern w:val="0"/>
          <w:lang w:val="pl-PL" w:eastAsia="hr-HR"/>
        </w:rPr>
        <w:t>dok za 2026.g. projekcija iznosi 290.000,00 eura što je 10.000,00 eura ili 3,6 % više nego u 2025.g.</w:t>
      </w:r>
    </w:p>
    <w:p w14:paraId="415D647E" w14:textId="72B1F3F9" w:rsidR="007B0FC8" w:rsidRPr="0091054B" w:rsidRDefault="00BB0D5A" w:rsidP="00C97AA2">
      <w:pPr>
        <w:widowControl/>
        <w:suppressAutoHyphens w:val="0"/>
        <w:autoSpaceDN/>
        <w:spacing w:after="0"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Prihodi iz nadležnog proračuna i od HZZO-a temeljem ugovornih obveza (skupina 67) – odnosi se na prihod iz matičnih sredstava Proračuna SDŽ i iz decentraliziranih sredstava za financiranje rashoda poslovanja i rashoda za nabavu nefinancijske imovine te prihod od HZZO-a za financiranje rashoda poslovanja</w:t>
      </w:r>
      <w:r w:rsidR="007B0FC8" w:rsidRPr="0091054B">
        <w:rPr>
          <w:rFonts w:ascii="Times New Roman" w:eastAsia="Symbol" w:hAnsi="Times New Roman" w:cs="Times New Roman"/>
          <w:kern w:val="0"/>
          <w:lang w:val="pl-PL" w:eastAsia="hr-HR"/>
        </w:rPr>
        <w:t>.</w:t>
      </w:r>
    </w:p>
    <w:p w14:paraId="21C29E23" w14:textId="43E3A51C" w:rsidR="00E47500" w:rsidRPr="0091054B" w:rsidRDefault="00E47500" w:rsidP="00C97AA2">
      <w:pPr>
        <w:pStyle w:val="Standard"/>
        <w:jc w:val="both"/>
        <w:rPr>
          <w:rFonts w:eastAsia="Symbol"/>
          <w:kern w:val="0"/>
          <w:sz w:val="22"/>
          <w:szCs w:val="22"/>
          <w:lang w:val="pl-PL"/>
        </w:rPr>
      </w:pPr>
      <w:r w:rsidRPr="0091054B">
        <w:rPr>
          <w:rFonts w:eastAsia="Symbol"/>
          <w:kern w:val="0"/>
          <w:sz w:val="22"/>
          <w:szCs w:val="22"/>
          <w:lang w:val="pl-PL"/>
        </w:rPr>
        <w:t>Prihod iz matičnih sredstava Proračuna SDŽ (</w:t>
      </w:r>
      <w:r w:rsidR="00C302A9" w:rsidRPr="0091054B">
        <w:rPr>
          <w:rFonts w:eastAsia="Symbol"/>
          <w:kern w:val="0"/>
          <w:sz w:val="22"/>
          <w:szCs w:val="22"/>
          <w:lang w:val="pl-PL"/>
        </w:rPr>
        <w:t>izvor O</w:t>
      </w:r>
      <w:r w:rsidRPr="0091054B">
        <w:rPr>
          <w:rFonts w:eastAsia="Symbol"/>
          <w:kern w:val="0"/>
          <w:sz w:val="22"/>
          <w:szCs w:val="22"/>
          <w:lang w:val="pl-PL"/>
        </w:rPr>
        <w:t xml:space="preserve">pći prihodi i primici) u 2024.g. planira se u iznosu od 1.463.995,94 eura što je 408.754,05 eura ili 38,7 % više od </w:t>
      </w:r>
      <w:r w:rsidR="00A37721" w:rsidRPr="0091054B">
        <w:rPr>
          <w:rFonts w:eastAsia="Symbol"/>
          <w:kern w:val="0"/>
          <w:sz w:val="22"/>
          <w:szCs w:val="22"/>
          <w:lang w:val="pl-PL"/>
        </w:rPr>
        <w:t xml:space="preserve">plana </w:t>
      </w:r>
      <w:r w:rsidRPr="0091054B">
        <w:rPr>
          <w:rFonts w:eastAsia="Symbol"/>
          <w:kern w:val="0"/>
          <w:sz w:val="22"/>
          <w:szCs w:val="22"/>
          <w:lang w:val="pl-PL"/>
        </w:rPr>
        <w:t xml:space="preserve">u 2023.g., odnosno što je 619.480,71 eura ili 73,4 % više od ostvarenja u 2022.g. . </w:t>
      </w:r>
      <w:r w:rsidR="00A37721" w:rsidRPr="0091054B">
        <w:rPr>
          <w:rFonts w:eastAsia="Symbol"/>
          <w:kern w:val="0"/>
          <w:sz w:val="22"/>
          <w:szCs w:val="22"/>
          <w:lang w:val="pl-PL"/>
        </w:rPr>
        <w:t xml:space="preserve">Povećanje prihoda iz Proračuna SDŽ posljedica je porasta rashoda za zaposlene (dodatni timovi u nadstandardu) zbog povećanja osnovice i koeficijenata za obračun plaća te financiranja nabave sanitetskih vozila. </w:t>
      </w:r>
      <w:r w:rsidRPr="0091054B">
        <w:rPr>
          <w:rFonts w:eastAsia="Symbol"/>
          <w:kern w:val="0"/>
          <w:sz w:val="22"/>
          <w:szCs w:val="22"/>
          <w:lang w:val="pl-PL"/>
        </w:rPr>
        <w:t xml:space="preserve">U </w:t>
      </w:r>
      <w:r w:rsidR="00A37721" w:rsidRPr="0091054B">
        <w:rPr>
          <w:rFonts w:eastAsia="Symbol"/>
          <w:kern w:val="0"/>
          <w:sz w:val="22"/>
          <w:szCs w:val="22"/>
          <w:lang w:val="pl-PL"/>
        </w:rPr>
        <w:t xml:space="preserve">projekcijama za </w:t>
      </w:r>
      <w:r w:rsidRPr="0091054B">
        <w:rPr>
          <w:rFonts w:eastAsia="Symbol"/>
          <w:kern w:val="0"/>
          <w:sz w:val="22"/>
          <w:szCs w:val="22"/>
          <w:lang w:val="pl-PL"/>
        </w:rPr>
        <w:t>2025.g. i 2026.g. planira</w:t>
      </w:r>
      <w:r w:rsidR="004F2E49" w:rsidRPr="0091054B">
        <w:rPr>
          <w:rFonts w:eastAsia="Symbol"/>
          <w:kern w:val="0"/>
          <w:sz w:val="22"/>
          <w:szCs w:val="22"/>
          <w:lang w:val="pl-PL"/>
        </w:rPr>
        <w:t xml:space="preserve"> </w:t>
      </w:r>
      <w:r w:rsidR="00A37721" w:rsidRPr="0091054B">
        <w:rPr>
          <w:rFonts w:eastAsia="Symbol"/>
          <w:kern w:val="0"/>
          <w:sz w:val="22"/>
          <w:szCs w:val="22"/>
          <w:lang w:val="pl-PL"/>
        </w:rPr>
        <w:t xml:space="preserve">se </w:t>
      </w:r>
      <w:r w:rsidR="004F2E49" w:rsidRPr="0091054B">
        <w:rPr>
          <w:rFonts w:eastAsia="Symbol"/>
          <w:kern w:val="0"/>
          <w:sz w:val="22"/>
          <w:szCs w:val="22"/>
          <w:lang w:val="pl-PL"/>
        </w:rPr>
        <w:t>svake godine po</w:t>
      </w:r>
      <w:r w:rsidRPr="0091054B">
        <w:rPr>
          <w:rFonts w:eastAsia="Symbol"/>
          <w:kern w:val="0"/>
          <w:sz w:val="22"/>
          <w:szCs w:val="22"/>
          <w:lang w:val="pl-PL"/>
        </w:rPr>
        <w:t xml:space="preserve"> 1.274.302,11 eura što je 189.693,83 eura ili 13</w:t>
      </w:r>
      <w:r w:rsidR="004F2E49" w:rsidRPr="0091054B">
        <w:rPr>
          <w:rFonts w:eastAsia="Symbol"/>
          <w:kern w:val="0"/>
          <w:sz w:val="22"/>
          <w:szCs w:val="22"/>
          <w:lang w:val="pl-PL"/>
        </w:rPr>
        <w:t xml:space="preserve"> %</w:t>
      </w:r>
      <w:r w:rsidRPr="0091054B">
        <w:rPr>
          <w:rFonts w:eastAsia="Symbol"/>
          <w:kern w:val="0"/>
          <w:sz w:val="22"/>
          <w:szCs w:val="22"/>
          <w:lang w:val="pl-PL"/>
        </w:rPr>
        <w:t xml:space="preserve"> manje od planiranog u 2024.g. </w:t>
      </w:r>
    </w:p>
    <w:p w14:paraId="7AC4AE25" w14:textId="72AD7EE1" w:rsidR="004F2E49" w:rsidRPr="0091054B" w:rsidRDefault="00C302A9" w:rsidP="00C97AA2">
      <w:pPr>
        <w:pStyle w:val="Standard"/>
        <w:jc w:val="both"/>
        <w:rPr>
          <w:rFonts w:eastAsia="Symbol"/>
          <w:kern w:val="0"/>
          <w:sz w:val="22"/>
          <w:szCs w:val="22"/>
          <w:lang w:val="pl-PL"/>
        </w:rPr>
      </w:pPr>
      <w:r w:rsidRPr="0091054B">
        <w:rPr>
          <w:rFonts w:eastAsia="Symbol"/>
          <w:kern w:val="0"/>
          <w:sz w:val="22"/>
          <w:szCs w:val="22"/>
          <w:lang w:val="pl-PL"/>
        </w:rPr>
        <w:t xml:space="preserve">Izvor </w:t>
      </w:r>
      <w:r w:rsidR="004F2E49" w:rsidRPr="0091054B">
        <w:rPr>
          <w:rFonts w:eastAsia="Symbol"/>
          <w:kern w:val="0"/>
          <w:sz w:val="22"/>
          <w:szCs w:val="22"/>
          <w:lang w:val="pl-PL"/>
        </w:rPr>
        <w:t xml:space="preserve">Prihodi za posebne namjene (decentralizacija) u 2024.g. planiraju se u iznosu od 1.742.367,58 eura što je 86.063,79 eura ili 5,2% više nego je planirano u </w:t>
      </w:r>
      <w:r w:rsidR="00A37721" w:rsidRPr="0091054B">
        <w:rPr>
          <w:rFonts w:eastAsia="Symbol"/>
          <w:kern w:val="0"/>
          <w:sz w:val="22"/>
          <w:szCs w:val="22"/>
          <w:lang w:val="pl-PL"/>
        </w:rPr>
        <w:t>planu</w:t>
      </w:r>
      <w:r w:rsidR="004F2E49" w:rsidRPr="0091054B">
        <w:rPr>
          <w:rFonts w:eastAsia="Symbol"/>
          <w:kern w:val="0"/>
          <w:sz w:val="22"/>
          <w:szCs w:val="22"/>
          <w:lang w:val="pl-PL"/>
        </w:rPr>
        <w:t xml:space="preserve"> 2023.g., odnosno što je 643.500,10 eura ili 58,6% više od ostvarenja u 2022.g. </w:t>
      </w:r>
      <w:r w:rsidR="00102742" w:rsidRPr="0091054B">
        <w:rPr>
          <w:rFonts w:eastAsia="Symbol"/>
          <w:kern w:val="0"/>
          <w:sz w:val="22"/>
          <w:szCs w:val="22"/>
          <w:lang w:val="pl-PL"/>
        </w:rPr>
        <w:t xml:space="preserve">Projekcija za 2025.g. i 2026.g. iznosi 1.712.367,58 eura što je 30.000,00 eura ili 1,7% manje od planiranog u 2024.g. </w:t>
      </w:r>
    </w:p>
    <w:p w14:paraId="2454B614" w14:textId="56E8E690" w:rsidR="007B0FC8" w:rsidRPr="0091054B" w:rsidRDefault="00C302A9" w:rsidP="00C97AA2">
      <w:pPr>
        <w:spacing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 xml:space="preserve">Izvor </w:t>
      </w:r>
      <w:r w:rsidR="00102742" w:rsidRPr="0091054B">
        <w:rPr>
          <w:rFonts w:ascii="Times New Roman" w:eastAsia="Symbol" w:hAnsi="Times New Roman" w:cs="Times New Roman"/>
          <w:kern w:val="0"/>
          <w:lang w:val="pl-PL" w:eastAsia="hr-HR"/>
        </w:rPr>
        <w:t xml:space="preserve">Prihodi za posebne namjene (SDŽ) odnose se na financiranje nabave i održavanja defibrilatora na </w:t>
      </w:r>
      <w:r w:rsidR="00102742" w:rsidRPr="0091054B">
        <w:rPr>
          <w:rFonts w:ascii="Times New Roman" w:eastAsia="Symbol" w:hAnsi="Times New Roman" w:cs="Times New Roman"/>
          <w:kern w:val="0"/>
          <w:lang w:val="pl-PL" w:eastAsia="hr-HR"/>
        </w:rPr>
        <w:lastRenderedPageBreak/>
        <w:t xml:space="preserve">javnim mjestima. U 2024.g. planira se </w:t>
      </w:r>
      <w:r w:rsidR="00F96BDA" w:rsidRPr="0091054B">
        <w:rPr>
          <w:rFonts w:ascii="Times New Roman" w:eastAsia="Symbol" w:hAnsi="Times New Roman" w:cs="Times New Roman"/>
          <w:kern w:val="0"/>
          <w:lang w:val="pl-PL" w:eastAsia="hr-HR"/>
        </w:rPr>
        <w:t xml:space="preserve">prihod </w:t>
      </w:r>
      <w:r w:rsidR="007B0FC8" w:rsidRPr="0091054B">
        <w:rPr>
          <w:rFonts w:ascii="Times New Roman" w:eastAsia="Symbol" w:hAnsi="Times New Roman" w:cs="Times New Roman"/>
          <w:kern w:val="0"/>
          <w:lang w:val="pl-PL" w:eastAsia="hr-HR"/>
        </w:rPr>
        <w:t>u iznosu od 40.000,00 eura što je gotovo isti iznos koji je planiran u  2023.g., dok se u 2025.g. i 2026.g. planira prihod u iznosu od 20.000,00 eura.</w:t>
      </w:r>
    </w:p>
    <w:p w14:paraId="43F79C86" w14:textId="27675776" w:rsidR="007B0FC8" w:rsidRPr="0091054B" w:rsidRDefault="007B0FC8" w:rsidP="00C97AA2">
      <w:pPr>
        <w:widowControl/>
        <w:suppressAutoHyphens w:val="0"/>
        <w:autoSpaceDN/>
        <w:spacing w:after="0"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Prihod od HZZO-a (</w:t>
      </w:r>
      <w:r w:rsidR="00C302A9" w:rsidRPr="0091054B">
        <w:rPr>
          <w:rFonts w:ascii="Times New Roman" w:eastAsia="Symbol" w:hAnsi="Times New Roman" w:cs="Times New Roman"/>
          <w:kern w:val="0"/>
          <w:lang w:val="pl-PL" w:eastAsia="hr-HR"/>
        </w:rPr>
        <w:t>izvor P</w:t>
      </w:r>
      <w:r w:rsidRPr="0091054B">
        <w:rPr>
          <w:rFonts w:ascii="Times New Roman" w:eastAsia="Symbol" w:hAnsi="Times New Roman" w:cs="Times New Roman"/>
          <w:kern w:val="0"/>
          <w:lang w:val="pl-PL" w:eastAsia="hr-HR"/>
        </w:rPr>
        <w:t xml:space="preserve">rihod za posebne namjene) odnosi se na prihod od glavarine za financiranje ugovorenih timova hitne medicine i sanitetskog prijevoza, prihod od pruženih zdravstvenih usluga temeljem EU kartica, refundacija utrošenih lijekova i hitnog medicinskog prijevoza pacijenata vodenim putem te od </w:t>
      </w:r>
      <w:r w:rsidR="00F96BDA" w:rsidRPr="0091054B">
        <w:rPr>
          <w:rFonts w:ascii="Times New Roman" w:eastAsia="Symbol" w:hAnsi="Times New Roman" w:cs="Times New Roman"/>
          <w:kern w:val="0"/>
          <w:lang w:val="pl-PL" w:eastAsia="hr-HR"/>
        </w:rPr>
        <w:t xml:space="preserve">naknade </w:t>
      </w:r>
      <w:r w:rsidRPr="0091054B">
        <w:rPr>
          <w:rFonts w:ascii="Times New Roman" w:eastAsia="Symbol" w:hAnsi="Times New Roman" w:cs="Times New Roman"/>
          <w:kern w:val="0"/>
          <w:lang w:val="pl-PL" w:eastAsia="hr-HR"/>
        </w:rPr>
        <w:t xml:space="preserve">za prijeđene kilometre sanitetskih vozila. U 2024.g. planira se u iznosu od </w:t>
      </w:r>
      <w:r w:rsidR="001D2B99" w:rsidRPr="0091054B">
        <w:rPr>
          <w:rFonts w:ascii="Times New Roman" w:eastAsia="Symbol" w:hAnsi="Times New Roman" w:cs="Times New Roman"/>
          <w:kern w:val="0"/>
          <w:lang w:val="pl-PL" w:eastAsia="hr-HR"/>
        </w:rPr>
        <w:t>18.301.636,48</w:t>
      </w:r>
      <w:r w:rsidRPr="0091054B">
        <w:rPr>
          <w:rFonts w:ascii="Times New Roman" w:eastAsia="Symbol" w:hAnsi="Times New Roman" w:cs="Times New Roman"/>
          <w:kern w:val="0"/>
          <w:lang w:val="pl-PL" w:eastAsia="hr-HR"/>
        </w:rPr>
        <w:t xml:space="preserve"> eura što je </w:t>
      </w:r>
      <w:r w:rsidR="001D2B99" w:rsidRPr="0091054B">
        <w:rPr>
          <w:rFonts w:ascii="Times New Roman" w:eastAsia="Symbol" w:hAnsi="Times New Roman" w:cs="Times New Roman"/>
          <w:kern w:val="0"/>
          <w:lang w:val="pl-PL" w:eastAsia="hr-HR"/>
        </w:rPr>
        <w:t>1.320.953,51</w:t>
      </w:r>
      <w:r w:rsidRPr="0091054B">
        <w:rPr>
          <w:rFonts w:ascii="Times New Roman" w:eastAsia="Symbol" w:hAnsi="Times New Roman" w:cs="Times New Roman"/>
          <w:kern w:val="0"/>
          <w:lang w:val="pl-PL" w:eastAsia="hr-HR"/>
        </w:rPr>
        <w:t xml:space="preserve"> eura ili </w:t>
      </w:r>
      <w:r w:rsidR="001D2B99" w:rsidRPr="0091054B">
        <w:rPr>
          <w:rFonts w:ascii="Times New Roman" w:eastAsia="Symbol" w:hAnsi="Times New Roman" w:cs="Times New Roman"/>
          <w:kern w:val="0"/>
          <w:lang w:val="pl-PL" w:eastAsia="hr-HR"/>
        </w:rPr>
        <w:t>7,8</w:t>
      </w:r>
      <w:r w:rsidRPr="0091054B">
        <w:rPr>
          <w:rFonts w:ascii="Times New Roman" w:eastAsia="Symbol" w:hAnsi="Times New Roman" w:cs="Times New Roman"/>
          <w:kern w:val="0"/>
          <w:lang w:val="pl-PL" w:eastAsia="hr-HR"/>
        </w:rPr>
        <w:t xml:space="preserve"> % više od </w:t>
      </w:r>
      <w:r w:rsidR="00F96BDA" w:rsidRPr="0091054B">
        <w:rPr>
          <w:rFonts w:ascii="Times New Roman" w:eastAsia="Symbol" w:hAnsi="Times New Roman" w:cs="Times New Roman"/>
          <w:kern w:val="0"/>
          <w:lang w:val="pl-PL" w:eastAsia="hr-HR"/>
        </w:rPr>
        <w:t>plana</w:t>
      </w:r>
      <w:r w:rsidRPr="0091054B">
        <w:rPr>
          <w:rFonts w:ascii="Times New Roman" w:eastAsia="Symbol" w:hAnsi="Times New Roman" w:cs="Times New Roman"/>
          <w:kern w:val="0"/>
          <w:lang w:val="pl-PL" w:eastAsia="hr-HR"/>
        </w:rPr>
        <w:t xml:space="preserve"> 2023.g., odnosno što je </w:t>
      </w:r>
      <w:r w:rsidR="001D2B99" w:rsidRPr="0091054B">
        <w:rPr>
          <w:rFonts w:ascii="Times New Roman" w:eastAsia="Symbol" w:hAnsi="Times New Roman" w:cs="Times New Roman"/>
          <w:kern w:val="0"/>
          <w:lang w:val="pl-PL" w:eastAsia="hr-HR"/>
        </w:rPr>
        <w:t>4.279.432,40</w:t>
      </w:r>
      <w:r w:rsidRPr="0091054B">
        <w:rPr>
          <w:rFonts w:ascii="Times New Roman" w:eastAsia="Symbol" w:hAnsi="Times New Roman" w:cs="Times New Roman"/>
          <w:kern w:val="0"/>
          <w:lang w:val="pl-PL" w:eastAsia="hr-HR"/>
        </w:rPr>
        <w:t xml:space="preserve"> eura ili </w:t>
      </w:r>
      <w:r w:rsidR="001D2B99" w:rsidRPr="0091054B">
        <w:rPr>
          <w:rFonts w:ascii="Times New Roman" w:eastAsia="Symbol" w:hAnsi="Times New Roman" w:cs="Times New Roman"/>
          <w:kern w:val="0"/>
          <w:lang w:val="pl-PL" w:eastAsia="hr-HR"/>
        </w:rPr>
        <w:t>30,5</w:t>
      </w:r>
      <w:r w:rsidRPr="0091054B">
        <w:rPr>
          <w:rFonts w:ascii="Times New Roman" w:eastAsia="Symbol" w:hAnsi="Times New Roman" w:cs="Times New Roman"/>
          <w:kern w:val="0"/>
          <w:lang w:val="pl-PL" w:eastAsia="hr-HR"/>
        </w:rPr>
        <w:t>% više od ostvarenja u 2022.g.</w:t>
      </w:r>
      <w:r w:rsidR="001D2B99" w:rsidRPr="0091054B">
        <w:rPr>
          <w:rFonts w:ascii="Times New Roman" w:eastAsia="Symbol" w:hAnsi="Times New Roman" w:cs="Times New Roman"/>
          <w:kern w:val="0"/>
          <w:lang w:val="pl-PL" w:eastAsia="hr-HR"/>
        </w:rPr>
        <w:t xml:space="preserve"> </w:t>
      </w:r>
      <w:r w:rsidR="00A55CC0" w:rsidRPr="0091054B">
        <w:rPr>
          <w:rFonts w:ascii="Times New Roman" w:eastAsia="Symbol" w:hAnsi="Times New Roman" w:cs="Times New Roman"/>
          <w:kern w:val="0"/>
          <w:lang w:val="pl-PL" w:eastAsia="hr-HR"/>
        </w:rPr>
        <w:t>P</w:t>
      </w:r>
      <w:r w:rsidR="00334B37" w:rsidRPr="0091054B">
        <w:rPr>
          <w:rFonts w:ascii="Times New Roman" w:eastAsia="Symbol" w:hAnsi="Times New Roman" w:cs="Times New Roman"/>
          <w:kern w:val="0"/>
          <w:lang w:val="pl-PL" w:eastAsia="hr-HR"/>
        </w:rPr>
        <w:t>rihod od HZZO-a za ugovorene timove hitne medicine i sanitetskog prijevoza  u 2024.g. planiran je na temelju prijedloga Odluke o osnovama za sklapanje ugovora o provođenju zdravstvene zaštite iz obveznog zdravstvenog osiguranja koja je dana 22. kolovoza 2023.g. objavljena na stranicama HZZO-a (savjetovanje s javnošću).</w:t>
      </w:r>
    </w:p>
    <w:p w14:paraId="2FEF60C2" w14:textId="14020152" w:rsidR="009003F6" w:rsidRPr="0091054B" w:rsidRDefault="001D2B99" w:rsidP="00C97AA2">
      <w:pPr>
        <w:pStyle w:val="Standard"/>
        <w:jc w:val="both"/>
        <w:rPr>
          <w:rFonts w:eastAsia="Symbol"/>
          <w:kern w:val="0"/>
          <w:sz w:val="22"/>
          <w:szCs w:val="22"/>
          <w:lang w:val="pl-PL"/>
        </w:rPr>
      </w:pPr>
      <w:r w:rsidRPr="0091054B">
        <w:rPr>
          <w:rFonts w:eastAsia="Symbol"/>
          <w:kern w:val="0"/>
          <w:sz w:val="22"/>
          <w:szCs w:val="22"/>
          <w:lang w:val="pl-PL"/>
        </w:rPr>
        <w:t xml:space="preserve">Projekcija za 2025.g. iznosi 19.030.700,00 eura što je 729.063,52 eura ili 4,0% više od planiranog u 2024.g. te 19.194.497,89 eura u 2026.g. što je 163.797,89 eura ili 0,9% više od planiranog za 2025.g. </w:t>
      </w:r>
      <w:r w:rsidR="00D210E6" w:rsidRPr="0091054B">
        <w:rPr>
          <w:rFonts w:eastAsia="Symbol"/>
          <w:kern w:val="0"/>
          <w:sz w:val="22"/>
          <w:szCs w:val="22"/>
          <w:lang w:val="pl-PL"/>
        </w:rPr>
        <w:t xml:space="preserve">Do povećanja prihoda od HZZO-a u 2025.g. </w:t>
      </w:r>
      <w:r w:rsidR="00A55CC0" w:rsidRPr="0091054B">
        <w:rPr>
          <w:rFonts w:eastAsia="Symbol"/>
          <w:kern w:val="0"/>
          <w:sz w:val="22"/>
          <w:szCs w:val="22"/>
          <w:lang w:val="pl-PL"/>
        </w:rPr>
        <w:t xml:space="preserve">očekuje se da će </w:t>
      </w:r>
      <w:r w:rsidR="00D210E6" w:rsidRPr="0091054B">
        <w:rPr>
          <w:rFonts w:eastAsia="Symbol"/>
          <w:kern w:val="0"/>
          <w:sz w:val="22"/>
          <w:szCs w:val="22"/>
          <w:lang w:val="pl-PL"/>
        </w:rPr>
        <w:t xml:space="preserve">doći nakon donošenja novog zakona o plaćama kojim će </w:t>
      </w:r>
      <w:r w:rsidR="00A55CC0" w:rsidRPr="0091054B">
        <w:rPr>
          <w:rFonts w:eastAsia="Symbol"/>
          <w:kern w:val="0"/>
          <w:sz w:val="22"/>
          <w:szCs w:val="22"/>
          <w:lang w:val="pl-PL"/>
        </w:rPr>
        <w:t xml:space="preserve">privremeni dodatak postati </w:t>
      </w:r>
      <w:r w:rsidR="00D210E6" w:rsidRPr="0091054B">
        <w:rPr>
          <w:rFonts w:eastAsia="Symbol"/>
          <w:kern w:val="0"/>
          <w:sz w:val="22"/>
          <w:szCs w:val="22"/>
          <w:lang w:val="pl-PL"/>
        </w:rPr>
        <w:t>sastavni dio koefi</w:t>
      </w:r>
      <w:r w:rsidR="00A55CC0" w:rsidRPr="0091054B">
        <w:rPr>
          <w:rFonts w:eastAsia="Symbol"/>
          <w:kern w:val="0"/>
          <w:sz w:val="22"/>
          <w:szCs w:val="22"/>
          <w:lang w:val="pl-PL"/>
        </w:rPr>
        <w:t>ci</w:t>
      </w:r>
      <w:r w:rsidR="00D210E6" w:rsidRPr="0091054B">
        <w:rPr>
          <w:rFonts w:eastAsia="Symbol"/>
          <w:kern w:val="0"/>
          <w:sz w:val="22"/>
          <w:szCs w:val="22"/>
          <w:lang w:val="pl-PL"/>
        </w:rPr>
        <w:t>jenata za obr</w:t>
      </w:r>
      <w:r w:rsidR="00A55CC0" w:rsidRPr="0091054B">
        <w:rPr>
          <w:rFonts w:eastAsia="Symbol"/>
          <w:kern w:val="0"/>
          <w:sz w:val="22"/>
          <w:szCs w:val="22"/>
          <w:lang w:val="pl-PL"/>
        </w:rPr>
        <w:t>a</w:t>
      </w:r>
      <w:r w:rsidR="00D210E6" w:rsidRPr="0091054B">
        <w:rPr>
          <w:rFonts w:eastAsia="Symbol"/>
          <w:kern w:val="0"/>
          <w:sz w:val="22"/>
          <w:szCs w:val="22"/>
          <w:lang w:val="pl-PL"/>
        </w:rPr>
        <w:t>čun plaće</w:t>
      </w:r>
      <w:r w:rsidR="00F71097" w:rsidRPr="0091054B">
        <w:rPr>
          <w:rFonts w:eastAsia="Symbol"/>
          <w:kern w:val="0"/>
          <w:sz w:val="22"/>
          <w:szCs w:val="22"/>
          <w:lang w:val="pl-PL"/>
        </w:rPr>
        <w:t>,</w:t>
      </w:r>
      <w:r w:rsidR="00A55CC0" w:rsidRPr="0091054B">
        <w:rPr>
          <w:rFonts w:eastAsia="Symbol"/>
          <w:kern w:val="0"/>
          <w:sz w:val="22"/>
          <w:szCs w:val="22"/>
          <w:lang w:val="pl-PL"/>
        </w:rPr>
        <w:t xml:space="preserve"> te neće više biti financiran iz izvora pomoći nego iz redovnog izvora financiranja ugovorenih timova.</w:t>
      </w:r>
    </w:p>
    <w:p w14:paraId="57C0457C" w14:textId="77777777" w:rsidR="001D2B99" w:rsidRPr="0091054B" w:rsidRDefault="001D2B99" w:rsidP="00C97AA2">
      <w:pPr>
        <w:spacing w:line="240" w:lineRule="auto"/>
        <w:jc w:val="both"/>
        <w:rPr>
          <w:rFonts w:ascii="Times New Roman" w:eastAsia="Symbol" w:hAnsi="Times New Roman" w:cs="Times New Roman"/>
          <w:kern w:val="0"/>
          <w:lang w:val="pl-PL" w:eastAsia="hr-HR"/>
        </w:rPr>
      </w:pPr>
    </w:p>
    <w:p w14:paraId="571A71F7" w14:textId="1A022A25" w:rsidR="00334B37" w:rsidRPr="0091054B" w:rsidRDefault="00334B37" w:rsidP="00C97AA2">
      <w:pPr>
        <w:widowControl/>
        <w:suppressAutoHyphens w:val="0"/>
        <w:autoSpaceDN/>
        <w:spacing w:after="0" w:line="240" w:lineRule="auto"/>
        <w:jc w:val="both"/>
        <w:rPr>
          <w:rFonts w:ascii="Times New Roman" w:eastAsia="Symbol" w:hAnsi="Times New Roman" w:cs="Times New Roman"/>
          <w:kern w:val="0"/>
          <w:lang w:val="pl-PL" w:eastAsia="hr-HR"/>
        </w:rPr>
      </w:pPr>
      <w:r w:rsidRPr="0091054B">
        <w:rPr>
          <w:rFonts w:ascii="Times New Roman" w:eastAsia="Symbol" w:hAnsi="Times New Roman" w:cs="Times New Roman"/>
          <w:kern w:val="0"/>
          <w:lang w:val="pl-PL" w:eastAsia="hr-HR"/>
        </w:rPr>
        <w:t>Kazne, upravne mjere i ostali prihodi (skupina 68</w:t>
      </w:r>
      <w:r w:rsidR="00C302A9" w:rsidRPr="0091054B">
        <w:rPr>
          <w:rFonts w:ascii="Times New Roman" w:eastAsia="Symbol" w:hAnsi="Times New Roman" w:cs="Times New Roman"/>
          <w:kern w:val="0"/>
          <w:lang w:val="pl-PL" w:eastAsia="hr-HR"/>
        </w:rPr>
        <w:t xml:space="preserve"> / izvor Vlastiti prihodi</w:t>
      </w:r>
      <w:r w:rsidRPr="0091054B">
        <w:rPr>
          <w:rFonts w:ascii="Times New Roman" w:eastAsia="Symbol" w:hAnsi="Times New Roman" w:cs="Times New Roman"/>
          <w:kern w:val="0"/>
          <w:lang w:val="pl-PL" w:eastAsia="hr-HR"/>
        </w:rPr>
        <w:t xml:space="preserve">) </w:t>
      </w:r>
      <w:r w:rsidR="00A66977" w:rsidRPr="0091054B">
        <w:rPr>
          <w:rFonts w:ascii="Times New Roman" w:eastAsia="Symbol" w:hAnsi="Times New Roman" w:cs="Times New Roman"/>
          <w:kern w:val="0"/>
          <w:lang w:val="pl-PL" w:eastAsia="hr-HR"/>
        </w:rPr>
        <w:t>–</w:t>
      </w:r>
      <w:r w:rsidRPr="0091054B">
        <w:rPr>
          <w:rFonts w:ascii="Times New Roman" w:eastAsia="Symbol" w:hAnsi="Times New Roman" w:cs="Times New Roman"/>
          <w:kern w:val="0"/>
          <w:lang w:val="pl-PL" w:eastAsia="hr-HR"/>
        </w:rPr>
        <w:t xml:space="preserve"> </w:t>
      </w:r>
      <w:r w:rsidR="00A66977" w:rsidRPr="0091054B">
        <w:rPr>
          <w:rFonts w:ascii="Times New Roman" w:eastAsia="Symbol" w:hAnsi="Times New Roman" w:cs="Times New Roman"/>
          <w:kern w:val="0"/>
          <w:lang w:val="pl-PL" w:eastAsia="hr-HR"/>
        </w:rPr>
        <w:t>u 2024.g. planiraju se u istom iznosu koliko su iznosili u 2023.g. dok se u 2025.g. planiraju u iznosu od 2.130,31 eur</w:t>
      </w:r>
      <w:r w:rsidR="00F71097" w:rsidRPr="0091054B">
        <w:rPr>
          <w:rFonts w:ascii="Times New Roman" w:eastAsia="Symbol" w:hAnsi="Times New Roman" w:cs="Times New Roman"/>
          <w:kern w:val="0"/>
          <w:lang w:val="pl-PL" w:eastAsia="hr-HR"/>
        </w:rPr>
        <w:t>a</w:t>
      </w:r>
      <w:r w:rsidR="00A66977" w:rsidRPr="0091054B">
        <w:rPr>
          <w:rFonts w:ascii="Times New Roman" w:eastAsia="Symbol" w:hAnsi="Times New Roman" w:cs="Times New Roman"/>
          <w:kern w:val="0"/>
          <w:lang w:val="pl-PL" w:eastAsia="hr-HR"/>
        </w:rPr>
        <w:t xml:space="preserve"> te u 2026.g. u iznosu od 2.132,42 eura.</w:t>
      </w:r>
    </w:p>
    <w:p w14:paraId="4E74742C" w14:textId="77777777" w:rsidR="00334B37" w:rsidRDefault="00334B37" w:rsidP="001D2B99">
      <w:pPr>
        <w:jc w:val="both"/>
        <w:rPr>
          <w:rFonts w:ascii="Times New Roman" w:hAnsi="Times New Roman" w:cs="Times New Roman"/>
        </w:rPr>
      </w:pPr>
    </w:p>
    <w:p w14:paraId="6EC7FE7A" w14:textId="52ECA2DD" w:rsidR="00A66977" w:rsidRPr="004F7D4B" w:rsidRDefault="00A66977" w:rsidP="001D2B99">
      <w:pPr>
        <w:jc w:val="both"/>
        <w:rPr>
          <w:rFonts w:ascii="Times New Roman" w:hAnsi="Times New Roman" w:cs="Times New Roman"/>
          <w:b/>
          <w:bCs/>
        </w:rPr>
      </w:pPr>
      <w:r w:rsidRPr="004F7D4B">
        <w:rPr>
          <w:rFonts w:ascii="Times New Roman" w:hAnsi="Times New Roman" w:cs="Times New Roman"/>
          <w:b/>
          <w:bCs/>
        </w:rPr>
        <w:t>Prihodi od prodaje nefinancijske imovine</w:t>
      </w:r>
    </w:p>
    <w:p w14:paraId="799B4289" w14:textId="1384BC9D" w:rsidR="00A66977" w:rsidRPr="00825318" w:rsidRDefault="00A66977" w:rsidP="00C97AA2">
      <w:pPr>
        <w:spacing w:line="240" w:lineRule="auto"/>
        <w:jc w:val="both"/>
        <w:rPr>
          <w:rFonts w:ascii="Times New Roman" w:hAnsi="Times New Roman" w:cs="Times New Roman"/>
        </w:rPr>
      </w:pPr>
      <w:r>
        <w:rPr>
          <w:rFonts w:ascii="Times New Roman" w:hAnsi="Times New Roman" w:cs="Times New Roman"/>
        </w:rPr>
        <w:t>Prihod od prodaje proizvedene dugotrajne imovine (skupina 72</w:t>
      </w:r>
      <w:r w:rsidR="006339DA">
        <w:rPr>
          <w:rFonts w:ascii="Times New Roman" w:hAnsi="Times New Roman" w:cs="Times New Roman"/>
        </w:rPr>
        <w:t xml:space="preserve"> / izvor Prihodi od prodaje ili zamjene nefinancijske imovine i naknade s naslova osiguranja</w:t>
      </w:r>
      <w:r>
        <w:rPr>
          <w:rFonts w:ascii="Times New Roman" w:hAnsi="Times New Roman" w:cs="Times New Roman"/>
        </w:rPr>
        <w:t>) –</w:t>
      </w:r>
      <w:r w:rsidR="004F7D4B">
        <w:rPr>
          <w:rFonts w:ascii="Times New Roman" w:hAnsi="Times New Roman" w:cs="Times New Roman"/>
        </w:rPr>
        <w:t xml:space="preserve"> odnosi se na prihod od prodaje rashodovanih sanitetskih vozila i od otkupa stanova. Ova vrsta prihoda u</w:t>
      </w:r>
      <w:r>
        <w:rPr>
          <w:rFonts w:ascii="Times New Roman" w:hAnsi="Times New Roman" w:cs="Times New Roman"/>
        </w:rPr>
        <w:t xml:space="preserve"> 2024.g. planira se u iznosu od </w:t>
      </w:r>
      <w:r w:rsidRPr="00825318">
        <w:rPr>
          <w:rFonts w:ascii="Times New Roman" w:hAnsi="Times New Roman" w:cs="Times New Roman"/>
        </w:rPr>
        <w:t>10.000,00 eura dok</w:t>
      </w:r>
      <w:r w:rsidR="004F7D4B" w:rsidRPr="00825318">
        <w:rPr>
          <w:rFonts w:ascii="Times New Roman" w:hAnsi="Times New Roman" w:cs="Times New Roman"/>
        </w:rPr>
        <w:t xml:space="preserve"> projekcija za 2025.g. iznosi 10.200,00 eura te za 2026.g. iznosi 10.400,00 eura.</w:t>
      </w:r>
    </w:p>
    <w:p w14:paraId="3D66B5E1" w14:textId="77777777" w:rsidR="00E510CC" w:rsidRDefault="00E510CC" w:rsidP="00BB0D5A">
      <w:pPr>
        <w:widowControl/>
        <w:suppressAutoHyphens w:val="0"/>
        <w:autoSpaceDN/>
        <w:spacing w:after="0" w:line="240" w:lineRule="auto"/>
        <w:rPr>
          <w:rFonts w:ascii="Times New Roman" w:eastAsia="Times New Roman" w:hAnsi="Times New Roman" w:cs="Times New Roman"/>
          <w:b/>
          <w:bCs/>
          <w:kern w:val="0"/>
          <w:lang w:eastAsia="hr-HR"/>
        </w:rPr>
      </w:pPr>
    </w:p>
    <w:p w14:paraId="55324CE3" w14:textId="3A5A832A" w:rsidR="00BB0D5A" w:rsidRPr="00825318" w:rsidRDefault="00A9761E" w:rsidP="00BB0D5A">
      <w:pPr>
        <w:widowControl/>
        <w:suppressAutoHyphens w:val="0"/>
        <w:autoSpaceDN/>
        <w:spacing w:after="0" w:line="240" w:lineRule="auto"/>
        <w:rPr>
          <w:rFonts w:ascii="Times New Roman" w:eastAsia="Times New Roman" w:hAnsi="Times New Roman" w:cs="Times New Roman"/>
          <w:b/>
          <w:bCs/>
          <w:kern w:val="0"/>
          <w:lang w:eastAsia="hr-HR"/>
        </w:rPr>
      </w:pPr>
      <w:r w:rsidRPr="00825318">
        <w:rPr>
          <w:rFonts w:ascii="Times New Roman" w:eastAsia="Times New Roman" w:hAnsi="Times New Roman" w:cs="Times New Roman"/>
          <w:b/>
          <w:bCs/>
          <w:kern w:val="0"/>
          <w:lang w:eastAsia="hr-HR"/>
        </w:rPr>
        <w:t>RASHODI</w:t>
      </w:r>
    </w:p>
    <w:p w14:paraId="4F016DF9" w14:textId="77777777" w:rsidR="00A9761E" w:rsidRDefault="00A9761E" w:rsidP="00BB0D5A">
      <w:pPr>
        <w:widowControl/>
        <w:suppressAutoHyphens w:val="0"/>
        <w:autoSpaceDN/>
        <w:spacing w:after="0" w:line="240" w:lineRule="auto"/>
        <w:rPr>
          <w:rFonts w:ascii="Times New Roman" w:eastAsia="Times New Roman" w:hAnsi="Times New Roman" w:cs="Times New Roman"/>
          <w:b/>
          <w:bCs/>
          <w:kern w:val="0"/>
          <w:lang w:eastAsia="hr-HR"/>
        </w:rPr>
      </w:pPr>
    </w:p>
    <w:p w14:paraId="192C8E7A" w14:textId="77777777" w:rsidR="00C97AA2" w:rsidRPr="00825318" w:rsidRDefault="00C97AA2" w:rsidP="00BB0D5A">
      <w:pPr>
        <w:widowControl/>
        <w:suppressAutoHyphens w:val="0"/>
        <w:autoSpaceDN/>
        <w:spacing w:after="0" w:line="240" w:lineRule="auto"/>
        <w:rPr>
          <w:rFonts w:ascii="Times New Roman" w:eastAsia="Times New Roman" w:hAnsi="Times New Roman" w:cs="Times New Roman"/>
          <w:kern w:val="0"/>
          <w:lang w:eastAsia="hr-HR"/>
        </w:rPr>
      </w:pPr>
    </w:p>
    <w:p w14:paraId="26A0C05B" w14:textId="0A0D8B9B" w:rsidR="00A9761E" w:rsidRPr="00825318" w:rsidRDefault="00A9761E" w:rsidP="00C97AA2">
      <w:pPr>
        <w:widowControl/>
        <w:suppressAutoHyphens w:val="0"/>
        <w:autoSpaceDN/>
        <w:spacing w:after="0" w:line="240" w:lineRule="auto"/>
        <w:jc w:val="both"/>
        <w:rPr>
          <w:rFonts w:ascii="Times New Roman" w:eastAsia="Times New Roman" w:hAnsi="Times New Roman" w:cs="Times New Roman"/>
          <w:kern w:val="0"/>
          <w:lang w:eastAsia="hr-HR"/>
        </w:rPr>
      </w:pPr>
      <w:r w:rsidRPr="00825318">
        <w:rPr>
          <w:rFonts w:ascii="Times New Roman" w:eastAsia="Times New Roman" w:hAnsi="Times New Roman" w:cs="Times New Roman"/>
          <w:kern w:val="0"/>
          <w:lang w:eastAsia="hr-HR"/>
        </w:rPr>
        <w:t>Rashodi i izdaci Zavoda za razdoblje 2024.-2026.g. planira</w:t>
      </w:r>
      <w:r w:rsidR="00F71097">
        <w:rPr>
          <w:rFonts w:ascii="Times New Roman" w:eastAsia="Times New Roman" w:hAnsi="Times New Roman" w:cs="Times New Roman"/>
          <w:kern w:val="0"/>
          <w:lang w:eastAsia="hr-HR"/>
        </w:rPr>
        <w:t xml:space="preserve">ju se </w:t>
      </w:r>
      <w:r w:rsidRPr="00825318">
        <w:rPr>
          <w:rFonts w:ascii="Times New Roman" w:eastAsia="Times New Roman" w:hAnsi="Times New Roman" w:cs="Times New Roman"/>
          <w:kern w:val="0"/>
          <w:lang w:eastAsia="hr-HR"/>
        </w:rPr>
        <w:t xml:space="preserve">uravnoteženi sa prihodima i primicima, po svim izvorima financiranja. Ukupno planirani rashodi u 2024.g. iznose 24.819.000,00 eura, što je 2.399.851,73 eura ili 10,7 % više od planiranog u </w:t>
      </w:r>
      <w:r w:rsidR="00F71097">
        <w:rPr>
          <w:rFonts w:ascii="Times New Roman" w:eastAsia="Times New Roman" w:hAnsi="Times New Roman" w:cs="Times New Roman"/>
          <w:kern w:val="0"/>
          <w:lang w:eastAsia="hr-HR"/>
        </w:rPr>
        <w:t>planu</w:t>
      </w:r>
      <w:r w:rsidRPr="00825318">
        <w:rPr>
          <w:rFonts w:ascii="Times New Roman" w:eastAsia="Times New Roman" w:hAnsi="Times New Roman" w:cs="Times New Roman"/>
          <w:kern w:val="0"/>
          <w:lang w:eastAsia="hr-HR"/>
        </w:rPr>
        <w:t xml:space="preserve"> 2023.g., odnosno 6.348.322,60 eura </w:t>
      </w:r>
      <w:r w:rsidR="00825318" w:rsidRPr="00825318">
        <w:rPr>
          <w:rFonts w:ascii="Times New Roman" w:eastAsia="Times New Roman" w:hAnsi="Times New Roman" w:cs="Times New Roman"/>
          <w:kern w:val="0"/>
          <w:lang w:eastAsia="hr-HR"/>
        </w:rPr>
        <w:t>ili 34,4 % više od izvršenja u 2022.g. Ukupni rashodi u 2025.g. se procjenjuju u iznosu od 24.129.000,00 eura što je 690.000,00 eura ili 2,8 % manje od planiranog u 2024.g., a projekcija za 2026.g. iznosi 23.971.000,00 eura što je 158.000,00 eura ili 0,6 % manje u odnosu na 2025.g.</w:t>
      </w:r>
    </w:p>
    <w:p w14:paraId="1FD78726" w14:textId="77777777" w:rsidR="00A9761E" w:rsidRDefault="00A9761E" w:rsidP="00BB0D5A">
      <w:pPr>
        <w:widowControl/>
        <w:suppressAutoHyphens w:val="0"/>
        <w:autoSpaceDN/>
        <w:spacing w:after="0" w:line="240" w:lineRule="auto"/>
        <w:rPr>
          <w:rFonts w:ascii="Times New Roman" w:eastAsia="Times New Roman" w:hAnsi="Times New Roman" w:cs="Times New Roman"/>
          <w:kern w:val="0"/>
          <w:lang w:eastAsia="hr-HR"/>
        </w:rPr>
      </w:pPr>
    </w:p>
    <w:p w14:paraId="2E55E9D9" w14:textId="77777777" w:rsidR="00BB0D5A" w:rsidRPr="00BB0D5A" w:rsidRDefault="00BB0D5A" w:rsidP="00BB0D5A">
      <w:pPr>
        <w:widowControl/>
        <w:suppressAutoHyphens w:val="0"/>
        <w:autoSpaceDN/>
        <w:spacing w:after="0" w:line="240" w:lineRule="auto"/>
        <w:rPr>
          <w:rFonts w:ascii="Times New Roman" w:hAnsi="Times New Roman" w:cs="Times New Roman"/>
        </w:rPr>
      </w:pPr>
    </w:p>
    <w:p w14:paraId="7210D8CF" w14:textId="77777777" w:rsidR="00723E5D" w:rsidRPr="00B16632" w:rsidRDefault="00723E5D" w:rsidP="00C97AA2">
      <w:pPr>
        <w:spacing w:line="240" w:lineRule="auto"/>
        <w:rPr>
          <w:rFonts w:ascii="Times New Roman" w:hAnsi="Times New Roman" w:cs="Times New Roman"/>
          <w:b/>
          <w:bCs/>
        </w:rPr>
      </w:pPr>
      <w:r w:rsidRPr="00B16632">
        <w:rPr>
          <w:rFonts w:ascii="Times New Roman" w:hAnsi="Times New Roman" w:cs="Times New Roman"/>
          <w:b/>
          <w:bCs/>
        </w:rPr>
        <w:t>Rashodi poslovanja</w:t>
      </w:r>
    </w:p>
    <w:p w14:paraId="66D61715" w14:textId="5058F5B9" w:rsidR="00723E5D" w:rsidRDefault="004F7D4B" w:rsidP="00C97AA2">
      <w:pPr>
        <w:spacing w:line="240" w:lineRule="auto"/>
        <w:jc w:val="both"/>
        <w:rPr>
          <w:rFonts w:ascii="Times New Roman" w:hAnsi="Times New Roman" w:cs="Times New Roman"/>
        </w:rPr>
      </w:pPr>
      <w:r w:rsidRPr="00B16632">
        <w:rPr>
          <w:rFonts w:ascii="Times New Roman" w:hAnsi="Times New Roman" w:cs="Times New Roman"/>
        </w:rPr>
        <w:t xml:space="preserve">Rashodi za zaposlene (skupina 31) - </w:t>
      </w:r>
      <w:r w:rsidR="00DD5518" w:rsidRPr="00B16632">
        <w:rPr>
          <w:rFonts w:ascii="Times New Roman" w:hAnsi="Times New Roman" w:cs="Times New Roman"/>
        </w:rPr>
        <w:t xml:space="preserve">u 2024.g. planiraju se u iznosu od 19.310.200,00 eura što je 1.913.200,00 eura ili 11,0 % više u odnosu na </w:t>
      </w:r>
      <w:r w:rsidR="00F71097">
        <w:rPr>
          <w:rFonts w:ascii="Times New Roman" w:hAnsi="Times New Roman" w:cs="Times New Roman"/>
        </w:rPr>
        <w:t>plan</w:t>
      </w:r>
      <w:r w:rsidR="00DD5518" w:rsidRPr="00B16632">
        <w:rPr>
          <w:rFonts w:ascii="Times New Roman" w:hAnsi="Times New Roman" w:cs="Times New Roman"/>
        </w:rPr>
        <w:t xml:space="preserve"> 2023.g., odnosno 4.559.030,05 eura ili 30,9% više u odnosu na izvršenje u 2022.g. </w:t>
      </w:r>
      <w:r w:rsidR="00B16632">
        <w:rPr>
          <w:rFonts w:ascii="Times New Roman" w:hAnsi="Times New Roman" w:cs="Times New Roman"/>
        </w:rPr>
        <w:t>Rashodi za zaposlene planiraju se</w:t>
      </w:r>
      <w:r w:rsidR="00231EE6">
        <w:rPr>
          <w:rFonts w:ascii="Times New Roman" w:hAnsi="Times New Roman" w:cs="Times New Roman"/>
        </w:rPr>
        <w:t xml:space="preserve"> sukladno Kolektivnom ugovoru za djelatnost zdravstva i zdravstvenog osiguranja, Uredb</w:t>
      </w:r>
      <w:r w:rsidR="00F71097">
        <w:rPr>
          <w:rFonts w:ascii="Times New Roman" w:hAnsi="Times New Roman" w:cs="Times New Roman"/>
        </w:rPr>
        <w:t>i</w:t>
      </w:r>
      <w:r w:rsidR="00231EE6">
        <w:rPr>
          <w:rFonts w:ascii="Times New Roman" w:hAnsi="Times New Roman" w:cs="Times New Roman"/>
        </w:rPr>
        <w:t xml:space="preserve"> o nazivima radnih mjesta i koeficijentima složenosti poslova u javnim službama</w:t>
      </w:r>
      <w:r w:rsidR="00FA7F56">
        <w:rPr>
          <w:rFonts w:ascii="Times New Roman" w:hAnsi="Times New Roman" w:cs="Times New Roman"/>
        </w:rPr>
        <w:t>,</w:t>
      </w:r>
      <w:r w:rsidR="00231EE6">
        <w:rPr>
          <w:rFonts w:ascii="Times New Roman" w:hAnsi="Times New Roman" w:cs="Times New Roman"/>
        </w:rPr>
        <w:t xml:space="preserve"> potrebnom broju timova hitne medicine i sanitetskog </w:t>
      </w:r>
      <w:r w:rsidR="00FA7F56">
        <w:rPr>
          <w:rFonts w:ascii="Times New Roman" w:hAnsi="Times New Roman" w:cs="Times New Roman"/>
        </w:rPr>
        <w:t>prijevoza</w:t>
      </w:r>
      <w:r w:rsidR="00231EE6">
        <w:rPr>
          <w:rFonts w:ascii="Times New Roman" w:hAnsi="Times New Roman" w:cs="Times New Roman"/>
        </w:rPr>
        <w:t xml:space="preserve"> ugovorenih s HZZO-m i s jedinicama lokalne i područne (regionalne) samouprave</w:t>
      </w:r>
      <w:r w:rsidR="00F71097">
        <w:rPr>
          <w:rFonts w:ascii="Times New Roman" w:hAnsi="Times New Roman" w:cs="Times New Roman"/>
        </w:rPr>
        <w:t xml:space="preserve"> i </w:t>
      </w:r>
      <w:r w:rsidR="00FA7F56">
        <w:rPr>
          <w:rFonts w:ascii="Times New Roman" w:hAnsi="Times New Roman" w:cs="Times New Roman"/>
        </w:rPr>
        <w:t xml:space="preserve">režijskog osoblja, te specijalističkih usavršavanja iz hitne medicine i </w:t>
      </w:r>
      <w:r w:rsidR="00300855">
        <w:rPr>
          <w:rFonts w:ascii="Times New Roman" w:hAnsi="Times New Roman" w:cs="Times New Roman"/>
        </w:rPr>
        <w:t>isplata sudskih presuda</w:t>
      </w:r>
      <w:r w:rsidR="00FA7F56">
        <w:rPr>
          <w:rFonts w:ascii="Times New Roman" w:hAnsi="Times New Roman" w:cs="Times New Roman"/>
        </w:rPr>
        <w:t xml:space="preserve">. Povećanje rashoda za zaposlene u 2024.g. posljedica je povećanja koeficijenta i osnovice za obračun plaća kao i materijalnih prava zaposlenika koja su poznata odnosno koja su u primjeni u </w:t>
      </w:r>
      <w:r w:rsidR="00D7296E">
        <w:rPr>
          <w:rFonts w:ascii="Times New Roman" w:hAnsi="Times New Roman" w:cs="Times New Roman"/>
        </w:rPr>
        <w:t>rujnu</w:t>
      </w:r>
      <w:r w:rsidR="00FA7F56">
        <w:rPr>
          <w:rFonts w:ascii="Times New Roman" w:hAnsi="Times New Roman" w:cs="Times New Roman"/>
        </w:rPr>
        <w:t xml:space="preserve"> 2023.g. </w:t>
      </w:r>
      <w:r w:rsidR="00DD5518" w:rsidRPr="00B16632">
        <w:rPr>
          <w:rFonts w:ascii="Times New Roman" w:hAnsi="Times New Roman" w:cs="Times New Roman"/>
        </w:rPr>
        <w:t>Projekcija za 2025.g. iznosi 19.000.000,00 eura što je 310.200,00 eura ili 1,6 % manje od planiranog u 2024.g. dok projekcija za 2026.g. iznosi 18.890.000,00 eura što je 110.000,00 eura ili 0,6% manje od 2025.g.</w:t>
      </w:r>
      <w:r w:rsidR="00300855">
        <w:rPr>
          <w:rFonts w:ascii="Times New Roman" w:hAnsi="Times New Roman" w:cs="Times New Roman"/>
        </w:rPr>
        <w:t xml:space="preserve"> Iako se u 2025.g. planira povećanje rashoda za zaposlene za 0,5 % zbog minulog staža ukupno će rashodi biti manji jer </w:t>
      </w:r>
      <w:r w:rsidR="00755097">
        <w:rPr>
          <w:rFonts w:ascii="Times New Roman" w:hAnsi="Times New Roman" w:cs="Times New Roman"/>
        </w:rPr>
        <w:t xml:space="preserve">se planira da će sve sudske presude </w:t>
      </w:r>
      <w:r w:rsidR="00755097">
        <w:rPr>
          <w:rFonts w:ascii="Times New Roman" w:hAnsi="Times New Roman" w:cs="Times New Roman"/>
        </w:rPr>
        <w:lastRenderedPageBreak/>
        <w:t xml:space="preserve">biti isplaćene tijekom 2024.g. te da u 2025.g. </w:t>
      </w:r>
      <w:r w:rsidR="00300855">
        <w:rPr>
          <w:rFonts w:ascii="Times New Roman" w:hAnsi="Times New Roman" w:cs="Times New Roman"/>
        </w:rPr>
        <w:t xml:space="preserve">neće biti </w:t>
      </w:r>
      <w:r w:rsidR="00755097">
        <w:rPr>
          <w:rFonts w:ascii="Times New Roman" w:hAnsi="Times New Roman" w:cs="Times New Roman"/>
        </w:rPr>
        <w:t>novih</w:t>
      </w:r>
      <w:r w:rsidR="00300855">
        <w:rPr>
          <w:rFonts w:ascii="Times New Roman" w:hAnsi="Times New Roman" w:cs="Times New Roman"/>
        </w:rPr>
        <w:t xml:space="preserve"> presuda, a u 2026.g. neće biti više specijalističkog usavršavanja medicinskih tehničara jer se očekuje da će sva biti okončana u 2025.g.</w:t>
      </w:r>
    </w:p>
    <w:p w14:paraId="21D652EC" w14:textId="01AAC4C5" w:rsidR="00F0678A" w:rsidRPr="00771C95" w:rsidRDefault="00300855" w:rsidP="00C97AA2">
      <w:pPr>
        <w:spacing w:line="240" w:lineRule="auto"/>
        <w:jc w:val="both"/>
        <w:rPr>
          <w:rFonts w:ascii="Times New Roman" w:hAnsi="Times New Roman" w:cs="Times New Roman"/>
        </w:rPr>
      </w:pPr>
      <w:r w:rsidRPr="00771C95">
        <w:rPr>
          <w:rFonts w:ascii="Times New Roman" w:hAnsi="Times New Roman" w:cs="Times New Roman"/>
        </w:rPr>
        <w:t xml:space="preserve">Materijalni rashodi (skupina 32) - u 2024.g. planiraju se u iznosu od 4.181.800,00 eura što je </w:t>
      </w:r>
      <w:r w:rsidR="008C7A43" w:rsidRPr="00771C95">
        <w:rPr>
          <w:rFonts w:ascii="Times New Roman" w:hAnsi="Times New Roman" w:cs="Times New Roman"/>
        </w:rPr>
        <w:t>543.760</w:t>
      </w:r>
      <w:r w:rsidRPr="00771C95">
        <w:rPr>
          <w:rFonts w:ascii="Times New Roman" w:hAnsi="Times New Roman" w:cs="Times New Roman"/>
        </w:rPr>
        <w:t xml:space="preserve">,00 eura ili </w:t>
      </w:r>
      <w:r w:rsidR="008C7A43" w:rsidRPr="00771C95">
        <w:rPr>
          <w:rFonts w:ascii="Times New Roman" w:hAnsi="Times New Roman" w:cs="Times New Roman"/>
        </w:rPr>
        <w:t>15</w:t>
      </w:r>
      <w:r w:rsidRPr="00771C95">
        <w:rPr>
          <w:rFonts w:ascii="Times New Roman" w:hAnsi="Times New Roman" w:cs="Times New Roman"/>
        </w:rPr>
        <w:t xml:space="preserve"> % više u odnosu na </w:t>
      </w:r>
      <w:r w:rsidR="00F0678A" w:rsidRPr="00771C95">
        <w:rPr>
          <w:rFonts w:ascii="Times New Roman" w:hAnsi="Times New Roman" w:cs="Times New Roman"/>
        </w:rPr>
        <w:t>plan</w:t>
      </w:r>
      <w:r w:rsidRPr="00771C95">
        <w:rPr>
          <w:rFonts w:ascii="Times New Roman" w:hAnsi="Times New Roman" w:cs="Times New Roman"/>
        </w:rPr>
        <w:t xml:space="preserve"> 2023.g., odnosno </w:t>
      </w:r>
      <w:r w:rsidR="008C7A43" w:rsidRPr="00771C95">
        <w:rPr>
          <w:rFonts w:ascii="Times New Roman" w:hAnsi="Times New Roman" w:cs="Times New Roman"/>
        </w:rPr>
        <w:t>912.653,87</w:t>
      </w:r>
      <w:r w:rsidRPr="00771C95">
        <w:rPr>
          <w:rFonts w:ascii="Times New Roman" w:hAnsi="Times New Roman" w:cs="Times New Roman"/>
        </w:rPr>
        <w:t xml:space="preserve"> eura ili </w:t>
      </w:r>
      <w:r w:rsidR="008C7A43" w:rsidRPr="00771C95">
        <w:rPr>
          <w:rFonts w:ascii="Times New Roman" w:hAnsi="Times New Roman" w:cs="Times New Roman"/>
        </w:rPr>
        <w:t xml:space="preserve">27,9 </w:t>
      </w:r>
      <w:r w:rsidRPr="00771C95">
        <w:rPr>
          <w:rFonts w:ascii="Times New Roman" w:hAnsi="Times New Roman" w:cs="Times New Roman"/>
        </w:rPr>
        <w:t>% više u odnosu na izvršenje u 2022.g.</w:t>
      </w:r>
      <w:r w:rsidR="008C7A43" w:rsidRPr="00771C95">
        <w:rPr>
          <w:rFonts w:ascii="Times New Roman" w:hAnsi="Times New Roman" w:cs="Times New Roman"/>
        </w:rPr>
        <w:t xml:space="preserve"> Materijalni rashodi planiraju se na osnovu izvršenja rashoda </w:t>
      </w:r>
      <w:r w:rsidR="00A9761E" w:rsidRPr="00771C95">
        <w:rPr>
          <w:rFonts w:ascii="Times New Roman" w:hAnsi="Times New Roman" w:cs="Times New Roman"/>
        </w:rPr>
        <w:t>do kolovoza 2023.g.</w:t>
      </w:r>
      <w:r w:rsidR="00CB38CE" w:rsidRPr="00771C95">
        <w:rPr>
          <w:rFonts w:ascii="Times New Roman" w:hAnsi="Times New Roman" w:cs="Times New Roman"/>
        </w:rPr>
        <w:t xml:space="preserve">, iskazanih  potreba </w:t>
      </w:r>
      <w:r w:rsidR="00755097">
        <w:rPr>
          <w:rFonts w:ascii="Times New Roman" w:hAnsi="Times New Roman" w:cs="Times New Roman"/>
        </w:rPr>
        <w:t xml:space="preserve">nužnih </w:t>
      </w:r>
      <w:r w:rsidR="00CB38CE" w:rsidRPr="00771C95">
        <w:rPr>
          <w:rFonts w:ascii="Times New Roman" w:hAnsi="Times New Roman" w:cs="Times New Roman"/>
        </w:rPr>
        <w:t xml:space="preserve">za redovno </w:t>
      </w:r>
      <w:r w:rsidR="00755097">
        <w:rPr>
          <w:rFonts w:ascii="Times New Roman" w:hAnsi="Times New Roman" w:cs="Times New Roman"/>
        </w:rPr>
        <w:t>poslovanje</w:t>
      </w:r>
      <w:r w:rsidR="00CB38CE" w:rsidRPr="00771C95">
        <w:rPr>
          <w:rFonts w:ascii="Times New Roman" w:hAnsi="Times New Roman" w:cs="Times New Roman"/>
        </w:rPr>
        <w:t xml:space="preserve"> Zavoda</w:t>
      </w:r>
      <w:r w:rsidR="00A9761E" w:rsidRPr="00771C95">
        <w:rPr>
          <w:rFonts w:ascii="Times New Roman" w:hAnsi="Times New Roman" w:cs="Times New Roman"/>
        </w:rPr>
        <w:t xml:space="preserve"> te </w:t>
      </w:r>
      <w:r w:rsidR="00825318" w:rsidRPr="00771C95">
        <w:rPr>
          <w:rFonts w:ascii="Times New Roman" w:hAnsi="Times New Roman" w:cs="Times New Roman"/>
        </w:rPr>
        <w:t>porasta cijena uslijed inflatornih kretanja na tržištu.</w:t>
      </w:r>
      <w:r w:rsidR="00CB38CE" w:rsidRPr="00771C95">
        <w:rPr>
          <w:rFonts w:ascii="Times New Roman" w:hAnsi="Times New Roman" w:cs="Times New Roman"/>
        </w:rPr>
        <w:t xml:space="preserve"> Povećanje materijalnih rashoda posljedica je većih potreba za održavanjem objekata, opreme i vozila,  većeg broja medicinskih tehničara na specijalističkom usavršavanju iz hitne medicine te </w:t>
      </w:r>
      <w:r w:rsidR="00771C95" w:rsidRPr="00771C95">
        <w:rPr>
          <w:rFonts w:ascii="Times New Roman" w:hAnsi="Times New Roman" w:cs="Times New Roman"/>
        </w:rPr>
        <w:t xml:space="preserve">porasta cijena na tržištu. </w:t>
      </w:r>
      <w:r w:rsidR="00F0678A" w:rsidRPr="00771C95">
        <w:rPr>
          <w:rFonts w:ascii="Times New Roman" w:hAnsi="Times New Roman" w:cs="Times New Roman"/>
        </w:rPr>
        <w:t xml:space="preserve">U 2025.g. ova vrsta rashoda se planira u iznosu od 4.200.000,00 eura što je 18.200,00 eura ili 0,4 % više od planiranih rashoda u 2024.g. te 4.290.000,00 eura u 2026.g. što je 90.000,00 eura ili 2,1 % više od 2025.g. </w:t>
      </w:r>
    </w:p>
    <w:p w14:paraId="22F5BC27" w14:textId="201F1742" w:rsidR="00222B68" w:rsidRDefault="00755097" w:rsidP="00C97AA2">
      <w:pPr>
        <w:spacing w:line="240" w:lineRule="auto"/>
        <w:jc w:val="both"/>
        <w:rPr>
          <w:rFonts w:ascii="Times New Roman" w:hAnsi="Times New Roman" w:cs="Times New Roman"/>
        </w:rPr>
      </w:pPr>
      <w:r>
        <w:rPr>
          <w:rFonts w:ascii="Times New Roman" w:hAnsi="Times New Roman" w:cs="Times New Roman"/>
        </w:rPr>
        <w:t>Financijski rashodi (</w:t>
      </w:r>
      <w:r w:rsidR="00737F0D">
        <w:rPr>
          <w:rFonts w:ascii="Times New Roman" w:hAnsi="Times New Roman" w:cs="Times New Roman"/>
        </w:rPr>
        <w:t xml:space="preserve">skupina </w:t>
      </w:r>
      <w:r>
        <w:rPr>
          <w:rFonts w:ascii="Times New Roman" w:hAnsi="Times New Roman" w:cs="Times New Roman"/>
        </w:rPr>
        <w:t xml:space="preserve">34) – planiraju se u 2024.g. u iznosu od 31.000,00 eura što je 28.235,60 eura ili 47,7% manje u odnosu na plan 2023.g., odnosno 24.893,52 eura ili 45,5% manje u odnosu na izvršenje u 2022.g. Smanjenje financijskih rashoda </w:t>
      </w:r>
      <w:r w:rsidR="00222B68">
        <w:rPr>
          <w:rFonts w:ascii="Times New Roman" w:hAnsi="Times New Roman" w:cs="Times New Roman"/>
        </w:rPr>
        <w:t>u 2024.g. posljedica je manjih rashoda za zatezne kamate na isplate sudskih presuda za prekovremeni i osnovicu jer se najveći broj presuda isplatio kroz prethodne dvije godine. Procjena za 2025.g. iznosi 18.000,00 eura što je 13.000,00 eura ili 41,9 % manje u odnosu na 2024.g., a za 2026.g. procjena iznosi 18.600,00 eura. Znači da se za iduće dvije godine planiraju samo rashodi platnog prometa dok se ne planiraju značajni rashodi za zatezne kamate jer se očekuje da će svi sudski postupci biti okončani u 2024.g.</w:t>
      </w:r>
    </w:p>
    <w:p w14:paraId="624334C5" w14:textId="6E8BC0E4" w:rsidR="00737F0D" w:rsidRDefault="00737F0D" w:rsidP="00C97AA2">
      <w:pPr>
        <w:spacing w:line="240" w:lineRule="auto"/>
        <w:jc w:val="both"/>
        <w:rPr>
          <w:rFonts w:ascii="Times New Roman" w:hAnsi="Times New Roman" w:cs="Times New Roman"/>
        </w:rPr>
      </w:pPr>
      <w:r>
        <w:rPr>
          <w:rFonts w:ascii="Times New Roman" w:hAnsi="Times New Roman" w:cs="Times New Roman"/>
        </w:rPr>
        <w:t>Ostali rashodi (skupina 38) – u planu za 2024.g. i projekcijama za 2025.g. i 2026.g. se ne planiraju ostali rashodi.</w:t>
      </w:r>
    </w:p>
    <w:p w14:paraId="2B9F5857" w14:textId="77777777" w:rsidR="00C97AA2" w:rsidRDefault="00C97AA2" w:rsidP="00C97AA2">
      <w:pPr>
        <w:spacing w:line="240" w:lineRule="auto"/>
        <w:jc w:val="both"/>
        <w:rPr>
          <w:rFonts w:ascii="Times New Roman" w:hAnsi="Times New Roman" w:cs="Times New Roman"/>
        </w:rPr>
      </w:pPr>
    </w:p>
    <w:p w14:paraId="2212BE76" w14:textId="00C4A6EC" w:rsidR="00737F0D" w:rsidRDefault="00737F0D" w:rsidP="00F0678A">
      <w:pPr>
        <w:jc w:val="both"/>
        <w:rPr>
          <w:rFonts w:ascii="Times New Roman" w:hAnsi="Times New Roman" w:cs="Times New Roman"/>
          <w:b/>
          <w:bCs/>
        </w:rPr>
      </w:pPr>
      <w:r w:rsidRPr="00737F0D">
        <w:rPr>
          <w:rFonts w:ascii="Times New Roman" w:hAnsi="Times New Roman" w:cs="Times New Roman"/>
          <w:b/>
          <w:bCs/>
        </w:rPr>
        <w:t xml:space="preserve">Rashodi za nabavu nefinancijske imovine </w:t>
      </w:r>
    </w:p>
    <w:p w14:paraId="3FE95768" w14:textId="77777777" w:rsidR="006339DA" w:rsidRDefault="00737F0D" w:rsidP="00C97AA2">
      <w:pPr>
        <w:widowControl/>
        <w:suppressAutoHyphens w:val="0"/>
        <w:autoSpaceDN/>
        <w:spacing w:after="0" w:line="240" w:lineRule="auto"/>
        <w:jc w:val="both"/>
        <w:rPr>
          <w:rFonts w:ascii="Times New Roman" w:eastAsia="Times New Roman" w:hAnsi="Times New Roman" w:cs="Times New Roman"/>
          <w:kern w:val="0"/>
          <w:lang w:eastAsia="hr-HR"/>
        </w:rPr>
      </w:pPr>
      <w:r w:rsidRPr="00737F0D">
        <w:rPr>
          <w:rFonts w:ascii="Times New Roman" w:eastAsia="Times New Roman" w:hAnsi="Times New Roman" w:cs="Times New Roman"/>
          <w:kern w:val="0"/>
          <w:lang w:eastAsia="hr-HR"/>
        </w:rPr>
        <w:t xml:space="preserve">Rashodi za nabavu </w:t>
      </w:r>
      <w:proofErr w:type="spellStart"/>
      <w:r w:rsidRPr="00737F0D">
        <w:rPr>
          <w:rFonts w:ascii="Times New Roman" w:eastAsia="Times New Roman" w:hAnsi="Times New Roman" w:cs="Times New Roman"/>
          <w:kern w:val="0"/>
          <w:lang w:eastAsia="hr-HR"/>
        </w:rPr>
        <w:t>neproizvedene</w:t>
      </w:r>
      <w:proofErr w:type="spellEnd"/>
      <w:r w:rsidRPr="00737F0D">
        <w:rPr>
          <w:rFonts w:ascii="Times New Roman" w:eastAsia="Times New Roman" w:hAnsi="Times New Roman" w:cs="Times New Roman"/>
          <w:kern w:val="0"/>
          <w:lang w:eastAsia="hr-HR"/>
        </w:rPr>
        <w:t xml:space="preserve"> imovine (skupina 41) </w:t>
      </w:r>
      <w:r>
        <w:rPr>
          <w:rFonts w:ascii="Times New Roman" w:eastAsia="Times New Roman" w:hAnsi="Times New Roman" w:cs="Times New Roman"/>
          <w:kern w:val="0"/>
          <w:lang w:eastAsia="hr-HR"/>
        </w:rPr>
        <w:t>–</w:t>
      </w:r>
      <w:r w:rsidRPr="00737F0D">
        <w:rPr>
          <w:rFonts w:ascii="Times New Roman" w:eastAsia="Times New Roman" w:hAnsi="Times New Roman" w:cs="Times New Roman"/>
          <w:kern w:val="0"/>
          <w:lang w:eastAsia="hr-HR"/>
        </w:rPr>
        <w:t xml:space="preserve"> </w:t>
      </w:r>
      <w:r>
        <w:rPr>
          <w:rFonts w:ascii="Times New Roman" w:eastAsia="Times New Roman" w:hAnsi="Times New Roman" w:cs="Times New Roman"/>
          <w:kern w:val="0"/>
          <w:lang w:eastAsia="hr-HR"/>
        </w:rPr>
        <w:t xml:space="preserve">u planu za 2024.g. rashodi se planiraju </w:t>
      </w:r>
      <w:r w:rsidR="006339DA">
        <w:rPr>
          <w:rFonts w:ascii="Times New Roman" w:eastAsia="Times New Roman" w:hAnsi="Times New Roman" w:cs="Times New Roman"/>
          <w:kern w:val="0"/>
          <w:lang w:eastAsia="hr-HR"/>
        </w:rPr>
        <w:t xml:space="preserve">za nabavu licenci </w:t>
      </w:r>
      <w:r>
        <w:rPr>
          <w:rFonts w:ascii="Times New Roman" w:eastAsia="Times New Roman" w:hAnsi="Times New Roman" w:cs="Times New Roman"/>
          <w:kern w:val="0"/>
          <w:lang w:eastAsia="hr-HR"/>
        </w:rPr>
        <w:t xml:space="preserve">u iznosu od 10.000,00 eura, a u projekcijama za 2025.g. </w:t>
      </w:r>
      <w:r w:rsidR="007D36F8">
        <w:rPr>
          <w:rFonts w:ascii="Times New Roman" w:eastAsia="Times New Roman" w:hAnsi="Times New Roman" w:cs="Times New Roman"/>
          <w:kern w:val="0"/>
          <w:lang w:eastAsia="hr-HR"/>
        </w:rPr>
        <w:t xml:space="preserve">u iznosu od </w:t>
      </w:r>
      <w:r>
        <w:rPr>
          <w:rFonts w:ascii="Times New Roman" w:eastAsia="Times New Roman" w:hAnsi="Times New Roman" w:cs="Times New Roman"/>
          <w:kern w:val="0"/>
          <w:lang w:eastAsia="hr-HR"/>
        </w:rPr>
        <w:t xml:space="preserve">10.200,00 eura </w:t>
      </w:r>
      <w:r w:rsidR="007D36F8">
        <w:rPr>
          <w:rFonts w:ascii="Times New Roman" w:eastAsia="Times New Roman" w:hAnsi="Times New Roman" w:cs="Times New Roman"/>
          <w:kern w:val="0"/>
          <w:lang w:eastAsia="hr-HR"/>
        </w:rPr>
        <w:t xml:space="preserve">te u iznosu </w:t>
      </w:r>
      <w:r>
        <w:rPr>
          <w:rFonts w:ascii="Times New Roman" w:eastAsia="Times New Roman" w:hAnsi="Times New Roman" w:cs="Times New Roman"/>
          <w:kern w:val="0"/>
          <w:lang w:eastAsia="hr-HR"/>
        </w:rPr>
        <w:t xml:space="preserve">10.400,00 eura </w:t>
      </w:r>
      <w:r w:rsidR="006339DA">
        <w:rPr>
          <w:rFonts w:ascii="Times New Roman" w:eastAsia="Times New Roman" w:hAnsi="Times New Roman" w:cs="Times New Roman"/>
          <w:kern w:val="0"/>
          <w:lang w:eastAsia="hr-HR"/>
        </w:rPr>
        <w:t xml:space="preserve">za 2026.g. </w:t>
      </w:r>
      <w:r>
        <w:rPr>
          <w:rFonts w:ascii="Times New Roman" w:eastAsia="Times New Roman" w:hAnsi="Times New Roman" w:cs="Times New Roman"/>
          <w:kern w:val="0"/>
          <w:lang w:eastAsia="hr-HR"/>
        </w:rPr>
        <w:t>U</w:t>
      </w:r>
      <w:r w:rsidR="007D36F8">
        <w:rPr>
          <w:rFonts w:ascii="Times New Roman" w:eastAsia="Times New Roman" w:hAnsi="Times New Roman" w:cs="Times New Roman"/>
          <w:kern w:val="0"/>
          <w:lang w:eastAsia="hr-HR"/>
        </w:rPr>
        <w:t xml:space="preserve"> </w:t>
      </w:r>
      <w:r>
        <w:rPr>
          <w:rFonts w:ascii="Times New Roman" w:eastAsia="Times New Roman" w:hAnsi="Times New Roman" w:cs="Times New Roman"/>
          <w:kern w:val="0"/>
          <w:lang w:eastAsia="hr-HR"/>
        </w:rPr>
        <w:t xml:space="preserve">2023.g. </w:t>
      </w:r>
      <w:r w:rsidR="007D36F8">
        <w:rPr>
          <w:rFonts w:ascii="Times New Roman" w:eastAsia="Times New Roman" w:hAnsi="Times New Roman" w:cs="Times New Roman"/>
          <w:kern w:val="0"/>
          <w:lang w:eastAsia="hr-HR"/>
        </w:rPr>
        <w:t>rashodi za nabavu nefinancijske imovine planirani su u iznosu od 240.642,13 eura za adaptaciju prostorija ispostave hitne medicine u Solinu</w:t>
      </w:r>
      <w:r w:rsidR="006339DA">
        <w:rPr>
          <w:rFonts w:ascii="Times New Roman" w:eastAsia="Times New Roman" w:hAnsi="Times New Roman" w:cs="Times New Roman"/>
          <w:kern w:val="0"/>
          <w:lang w:eastAsia="hr-HR"/>
        </w:rPr>
        <w:t>.</w:t>
      </w:r>
    </w:p>
    <w:p w14:paraId="76F955FC" w14:textId="77777777" w:rsidR="007D36F8" w:rsidRDefault="007D36F8" w:rsidP="00C97AA2">
      <w:pPr>
        <w:widowControl/>
        <w:suppressAutoHyphens w:val="0"/>
        <w:autoSpaceDN/>
        <w:spacing w:after="0" w:line="240" w:lineRule="auto"/>
        <w:jc w:val="both"/>
        <w:rPr>
          <w:rFonts w:ascii="Times New Roman" w:eastAsia="Times New Roman" w:hAnsi="Times New Roman" w:cs="Times New Roman"/>
          <w:kern w:val="0"/>
          <w:lang w:eastAsia="hr-HR"/>
        </w:rPr>
      </w:pPr>
    </w:p>
    <w:p w14:paraId="6C36E0E8" w14:textId="0BA3ED4D" w:rsidR="007D36F8" w:rsidRDefault="007D36F8" w:rsidP="00C97AA2">
      <w:pPr>
        <w:widowControl/>
        <w:suppressAutoHyphens w:val="0"/>
        <w:autoSpaceDN/>
        <w:spacing w:after="0" w:line="240"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 xml:space="preserve">Rashodi za nabavu proizvedene dugotrajne imovine (skupina 42) – planiraju se u iznosu od 1.286.000,00 eura što je 201.769,46 eura ili 18,6 % više u odnosu na plan 2023.g. te 904.311,22 eura ili 236,9% više u odnosu na izvršenje 2022.g. Na osnovu iskazanih potreba za </w:t>
      </w:r>
      <w:r w:rsidR="00C332DF">
        <w:rPr>
          <w:rFonts w:ascii="Times New Roman" w:eastAsia="Times New Roman" w:hAnsi="Times New Roman" w:cs="Times New Roman"/>
          <w:kern w:val="0"/>
          <w:lang w:eastAsia="hr-HR"/>
        </w:rPr>
        <w:t xml:space="preserve">novom </w:t>
      </w:r>
      <w:r>
        <w:rPr>
          <w:rFonts w:ascii="Times New Roman" w:eastAsia="Times New Roman" w:hAnsi="Times New Roman" w:cs="Times New Roman"/>
          <w:kern w:val="0"/>
          <w:lang w:eastAsia="hr-HR"/>
        </w:rPr>
        <w:t>oprem</w:t>
      </w:r>
      <w:r w:rsidR="00C332DF">
        <w:rPr>
          <w:rFonts w:ascii="Times New Roman" w:eastAsia="Times New Roman" w:hAnsi="Times New Roman" w:cs="Times New Roman"/>
          <w:kern w:val="0"/>
          <w:lang w:eastAsia="hr-HR"/>
        </w:rPr>
        <w:t>om</w:t>
      </w:r>
      <w:r>
        <w:rPr>
          <w:rFonts w:ascii="Times New Roman" w:eastAsia="Times New Roman" w:hAnsi="Times New Roman" w:cs="Times New Roman"/>
          <w:kern w:val="0"/>
          <w:lang w:eastAsia="hr-HR"/>
        </w:rPr>
        <w:t xml:space="preserve"> i vozil</w:t>
      </w:r>
      <w:r w:rsidR="00C332DF">
        <w:rPr>
          <w:rFonts w:ascii="Times New Roman" w:eastAsia="Times New Roman" w:hAnsi="Times New Roman" w:cs="Times New Roman"/>
          <w:kern w:val="0"/>
          <w:lang w:eastAsia="hr-HR"/>
        </w:rPr>
        <w:t>im</w:t>
      </w:r>
      <w:r>
        <w:rPr>
          <w:rFonts w:ascii="Times New Roman" w:eastAsia="Times New Roman" w:hAnsi="Times New Roman" w:cs="Times New Roman"/>
          <w:kern w:val="0"/>
          <w:lang w:eastAsia="hr-HR"/>
        </w:rPr>
        <w:t xml:space="preserve">a </w:t>
      </w:r>
      <w:r w:rsidR="00C332DF">
        <w:rPr>
          <w:rFonts w:ascii="Times New Roman" w:eastAsia="Times New Roman" w:hAnsi="Times New Roman" w:cs="Times New Roman"/>
          <w:kern w:val="0"/>
          <w:lang w:eastAsia="hr-HR"/>
        </w:rPr>
        <w:t>planiraju se nabave medicinske, uredske, komunikacijske i ostale opreme te nabava vozila za izvanbolničku hitnu medicinu i sanitetski prijevoz koji će se najvećim dijelom financirati iz decentraliziranih sredstava.</w:t>
      </w:r>
    </w:p>
    <w:p w14:paraId="5172D1A7" w14:textId="34CC4664" w:rsidR="00C332DF" w:rsidRDefault="00C332DF" w:rsidP="00C97AA2">
      <w:pPr>
        <w:spacing w:line="240"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Projekcija za 2025.g. iznosi 900.800,00 eura što je 385.200,00 eura ili 29,9 % manje nego u 2024.g. dok za 2026.g. projekcija iznosi 772.400,00 eura što je 138.800,00 eura ili 15 % manje nego u 2025.g.</w:t>
      </w:r>
      <w:r w:rsidR="00143282">
        <w:rPr>
          <w:rFonts w:ascii="Times New Roman" w:eastAsia="Times New Roman" w:hAnsi="Times New Roman" w:cs="Times New Roman"/>
          <w:kern w:val="0"/>
          <w:lang w:eastAsia="hr-HR"/>
        </w:rPr>
        <w:t xml:space="preserve"> </w:t>
      </w:r>
      <w:r w:rsidR="008827AC">
        <w:rPr>
          <w:rFonts w:ascii="Times New Roman" w:eastAsia="Times New Roman" w:hAnsi="Times New Roman" w:cs="Times New Roman"/>
          <w:kern w:val="0"/>
          <w:lang w:eastAsia="hr-HR"/>
        </w:rPr>
        <w:t xml:space="preserve">jer su manja </w:t>
      </w:r>
      <w:r w:rsidR="00143282">
        <w:rPr>
          <w:rFonts w:ascii="Times New Roman" w:eastAsia="Times New Roman" w:hAnsi="Times New Roman" w:cs="Times New Roman"/>
          <w:kern w:val="0"/>
          <w:lang w:eastAsia="hr-HR"/>
        </w:rPr>
        <w:t xml:space="preserve"> decentralizirana sredstva</w:t>
      </w:r>
      <w:r w:rsidR="008827AC">
        <w:rPr>
          <w:rFonts w:ascii="Times New Roman" w:eastAsia="Times New Roman" w:hAnsi="Times New Roman" w:cs="Times New Roman"/>
          <w:kern w:val="0"/>
          <w:lang w:eastAsia="hr-HR"/>
        </w:rPr>
        <w:t xml:space="preserve"> iz kojih se financiraju rashodi nabave opreme i vozila.</w:t>
      </w:r>
    </w:p>
    <w:p w14:paraId="1B2295CA" w14:textId="691257F5" w:rsidR="0041156D" w:rsidRDefault="0041156D" w:rsidP="00C97AA2">
      <w:pPr>
        <w:spacing w:line="240"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Rashodi prema funkcijskoj klasifikaciji planiraju se u cijelosti u okviru funkcije Zdravstvo (07), Služe za vanjske pacijente (072), Opće medicinske usluge (0721).</w:t>
      </w:r>
    </w:p>
    <w:p w14:paraId="557CAAE8" w14:textId="77777777" w:rsidR="00C97AA2" w:rsidRDefault="00C97AA2" w:rsidP="00C97AA2">
      <w:pPr>
        <w:spacing w:line="240" w:lineRule="auto"/>
        <w:jc w:val="both"/>
        <w:rPr>
          <w:rFonts w:ascii="Times New Roman" w:eastAsia="Times New Roman" w:hAnsi="Times New Roman" w:cs="Times New Roman"/>
          <w:kern w:val="0"/>
          <w:lang w:eastAsia="hr-HR"/>
        </w:rPr>
      </w:pPr>
    </w:p>
    <w:p w14:paraId="23F2B0C4" w14:textId="2D54219D" w:rsidR="006738FD" w:rsidRPr="006738FD" w:rsidRDefault="006738FD" w:rsidP="00723E5D">
      <w:pPr>
        <w:jc w:val="both"/>
        <w:rPr>
          <w:rFonts w:ascii="Times New Roman" w:hAnsi="Times New Roman" w:cs="Times New Roman"/>
          <w:b/>
          <w:bCs/>
        </w:rPr>
      </w:pPr>
      <w:r w:rsidRPr="006738FD">
        <w:rPr>
          <w:rFonts w:ascii="Times New Roman" w:hAnsi="Times New Roman" w:cs="Times New Roman"/>
          <w:b/>
          <w:bCs/>
        </w:rPr>
        <w:t xml:space="preserve">Obrazloženje prenesenog manjka </w:t>
      </w:r>
    </w:p>
    <w:p w14:paraId="52992915" w14:textId="79F207AC" w:rsidR="006738FD" w:rsidRDefault="006738FD" w:rsidP="00C97AA2">
      <w:pPr>
        <w:autoSpaceDE w:val="0"/>
        <w:adjustRightInd w:val="0"/>
        <w:spacing w:line="240" w:lineRule="auto"/>
        <w:jc w:val="both"/>
        <w:rPr>
          <w:rFonts w:ascii="Times New Roman" w:hAnsi="Times New Roman" w:cs="Times New Roman"/>
          <w:bCs/>
        </w:rPr>
      </w:pPr>
      <w:r w:rsidRPr="006738FD">
        <w:rPr>
          <w:rFonts w:ascii="Times New Roman" w:hAnsi="Times New Roman" w:cs="Times New Roman"/>
        </w:rPr>
        <w:t>Financijskim planom za 2023.g. planirano je pokriće prenesenog manjk</w:t>
      </w:r>
      <w:r>
        <w:rPr>
          <w:rFonts w:ascii="Times New Roman" w:hAnsi="Times New Roman" w:cs="Times New Roman"/>
        </w:rPr>
        <w:t>a</w:t>
      </w:r>
      <w:r w:rsidRPr="006738FD">
        <w:rPr>
          <w:rFonts w:ascii="Times New Roman" w:hAnsi="Times New Roman" w:cs="Times New Roman"/>
        </w:rPr>
        <w:t xml:space="preserve"> prihoda poslovanja iz 2022.g. i to manjak </w:t>
      </w:r>
      <w:r w:rsidRPr="006738FD">
        <w:rPr>
          <w:rFonts w:ascii="Times New Roman" w:hAnsi="Times New Roman" w:cs="Times New Roman"/>
          <w:bCs/>
        </w:rPr>
        <w:t>u iznosu od 24.522,66 € pokrit će se većim prihodom poslovanja iz izvora prihodi za posebne namjene</w:t>
      </w:r>
      <w:r>
        <w:rPr>
          <w:rFonts w:ascii="Times New Roman" w:hAnsi="Times New Roman" w:cs="Times New Roman"/>
          <w:bCs/>
        </w:rPr>
        <w:t xml:space="preserve"> (</w:t>
      </w:r>
      <w:r w:rsidRPr="006738FD">
        <w:rPr>
          <w:rFonts w:ascii="Times New Roman" w:hAnsi="Times New Roman" w:cs="Times New Roman"/>
          <w:bCs/>
        </w:rPr>
        <w:t>prihod od HZZO-a</w:t>
      </w:r>
      <w:r>
        <w:rPr>
          <w:rFonts w:ascii="Times New Roman" w:hAnsi="Times New Roman" w:cs="Times New Roman"/>
          <w:bCs/>
        </w:rPr>
        <w:t>)</w:t>
      </w:r>
      <w:r w:rsidRPr="006738FD">
        <w:rPr>
          <w:rFonts w:ascii="Times New Roman" w:hAnsi="Times New Roman" w:cs="Times New Roman"/>
          <w:bCs/>
        </w:rPr>
        <w:t>, manjak u iznosu od 7.359,59 € pokrit će se većim prihodom iz izvora pomoći od Ministarstva zdravstva i manjak u iznosu od 9.168,23 € pokrit će se većim prihodom iz izvora pomoći iz Europskog socijalnog fonda.</w:t>
      </w:r>
      <w:r>
        <w:rPr>
          <w:rFonts w:ascii="Times New Roman" w:hAnsi="Times New Roman" w:cs="Times New Roman"/>
          <w:bCs/>
        </w:rPr>
        <w:t xml:space="preserve"> Shodno tome, u planu za 2024.g. i projekcijama za 2025.g. i 2026.g.  ne planira se prijenos manjka te se planira uravnotežen odnos prihoda i rashoda po svim izvorima financiranja.</w:t>
      </w:r>
    </w:p>
    <w:p w14:paraId="1B4956A0" w14:textId="77777777" w:rsidR="00C97AA2" w:rsidRDefault="00C97AA2" w:rsidP="00C97AA2">
      <w:pPr>
        <w:autoSpaceDE w:val="0"/>
        <w:adjustRightInd w:val="0"/>
        <w:spacing w:line="240" w:lineRule="auto"/>
        <w:jc w:val="both"/>
        <w:rPr>
          <w:rFonts w:ascii="Times New Roman" w:hAnsi="Times New Roman" w:cs="Times New Roman"/>
          <w:bCs/>
        </w:rPr>
      </w:pPr>
    </w:p>
    <w:p w14:paraId="1FF63FC5" w14:textId="77777777" w:rsidR="00F12BCA" w:rsidRDefault="00F12BCA" w:rsidP="00273874">
      <w:pPr>
        <w:pStyle w:val="Standard"/>
        <w:jc w:val="center"/>
        <w:rPr>
          <w:b/>
          <w:bCs/>
          <w:sz w:val="20"/>
          <w:szCs w:val="20"/>
        </w:rPr>
      </w:pPr>
    </w:p>
    <w:p w14:paraId="6A96C19B" w14:textId="77777777" w:rsidR="00C97AA2" w:rsidRDefault="00C97AA2" w:rsidP="00273874">
      <w:pPr>
        <w:pStyle w:val="Standard"/>
        <w:jc w:val="center"/>
        <w:rPr>
          <w:b/>
          <w:bCs/>
          <w:sz w:val="20"/>
          <w:szCs w:val="20"/>
        </w:rPr>
      </w:pPr>
    </w:p>
    <w:p w14:paraId="4FDA9B23" w14:textId="77777777" w:rsidR="00C97AA2" w:rsidRPr="000C1952" w:rsidRDefault="00C97AA2" w:rsidP="00273874">
      <w:pPr>
        <w:pStyle w:val="Standard"/>
        <w:jc w:val="center"/>
        <w:rPr>
          <w:b/>
          <w:bCs/>
          <w:sz w:val="20"/>
          <w:szCs w:val="20"/>
        </w:rPr>
      </w:pPr>
    </w:p>
    <w:p w14:paraId="4EEA400C" w14:textId="2A68F170" w:rsidR="00FB5230" w:rsidRPr="00702A1E" w:rsidRDefault="0026448D" w:rsidP="004436BC">
      <w:pPr>
        <w:pStyle w:val="Standard"/>
        <w:numPr>
          <w:ilvl w:val="0"/>
          <w:numId w:val="18"/>
        </w:numPr>
        <w:jc w:val="center"/>
        <w:rPr>
          <w:b/>
          <w:bCs/>
          <w:sz w:val="22"/>
          <w:szCs w:val="22"/>
        </w:rPr>
      </w:pPr>
      <w:r w:rsidRPr="00702A1E">
        <w:rPr>
          <w:b/>
          <w:bCs/>
          <w:sz w:val="22"/>
          <w:szCs w:val="22"/>
        </w:rPr>
        <w:t>POSEBNI DIO</w:t>
      </w:r>
    </w:p>
    <w:p w14:paraId="7EF8C994" w14:textId="77777777" w:rsidR="00FA6BF1" w:rsidRPr="00702A1E" w:rsidRDefault="00FA6BF1">
      <w:pPr>
        <w:pStyle w:val="Standard"/>
        <w:rPr>
          <w:color w:val="FF0000"/>
          <w:sz w:val="22"/>
          <w:szCs w:val="22"/>
        </w:rPr>
      </w:pPr>
    </w:p>
    <w:p w14:paraId="3BA098F1" w14:textId="77777777" w:rsidR="00FA6BF1" w:rsidRDefault="00FA6BF1">
      <w:pPr>
        <w:pStyle w:val="Standard"/>
        <w:rPr>
          <w:color w:val="FF0000"/>
          <w:sz w:val="22"/>
          <w:szCs w:val="22"/>
        </w:rPr>
      </w:pPr>
    </w:p>
    <w:p w14:paraId="74E0C052" w14:textId="77777777" w:rsidR="00C97AA2" w:rsidRPr="00702A1E" w:rsidRDefault="00C97AA2">
      <w:pPr>
        <w:pStyle w:val="Standard"/>
        <w:rPr>
          <w:color w:val="FF0000"/>
          <w:sz w:val="22"/>
          <w:szCs w:val="22"/>
        </w:rPr>
      </w:pPr>
    </w:p>
    <w:p w14:paraId="7B4917ED" w14:textId="77777777" w:rsidR="00FA6BF1" w:rsidRPr="00702A1E" w:rsidRDefault="00FA6BF1">
      <w:pPr>
        <w:pStyle w:val="Standard"/>
        <w:rPr>
          <w:b/>
          <w:bCs/>
          <w:color w:val="FF0000"/>
          <w:sz w:val="22"/>
          <w:szCs w:val="22"/>
        </w:rPr>
      </w:pPr>
    </w:p>
    <w:tbl>
      <w:tblPr>
        <w:tblW w:w="9459" w:type="dxa"/>
        <w:tblInd w:w="-108" w:type="dxa"/>
        <w:tblLayout w:type="fixed"/>
        <w:tblCellMar>
          <w:left w:w="10" w:type="dxa"/>
          <w:right w:w="10" w:type="dxa"/>
        </w:tblCellMar>
        <w:tblLook w:val="04A0" w:firstRow="1" w:lastRow="0" w:firstColumn="1" w:lastColumn="0" w:noHBand="0" w:noVBand="1"/>
      </w:tblPr>
      <w:tblGrid>
        <w:gridCol w:w="1521"/>
        <w:gridCol w:w="1701"/>
        <w:gridCol w:w="1559"/>
        <w:gridCol w:w="1559"/>
        <w:gridCol w:w="1560"/>
        <w:gridCol w:w="1559"/>
      </w:tblGrid>
      <w:tr w:rsidR="00FA6BF1" w:rsidRPr="00702A1E" w14:paraId="085B1E9B" w14:textId="77777777" w:rsidTr="00FF68DC">
        <w:tc>
          <w:tcPr>
            <w:tcW w:w="15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E27CF44" w14:textId="77777777" w:rsidR="00FA6BF1" w:rsidRPr="00702A1E" w:rsidRDefault="00091387">
            <w:pPr>
              <w:pStyle w:val="Standard"/>
              <w:rPr>
                <w:sz w:val="22"/>
                <w:szCs w:val="22"/>
              </w:rPr>
            </w:pPr>
            <w:r w:rsidRPr="00702A1E">
              <w:rPr>
                <w:b/>
                <w:bCs/>
                <w:color w:val="000000"/>
                <w:sz w:val="22"/>
                <w:szCs w:val="22"/>
                <w:u w:val="single"/>
              </w:rPr>
              <w:t>PROGRAM:</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473A66" w14:textId="77777777" w:rsidR="00FA6BF1" w:rsidRPr="00702A1E" w:rsidRDefault="00091387">
            <w:pPr>
              <w:pStyle w:val="Standard"/>
              <w:rPr>
                <w:sz w:val="22"/>
                <w:szCs w:val="22"/>
              </w:rPr>
            </w:pPr>
            <w:r w:rsidRPr="00702A1E">
              <w:rPr>
                <w:b/>
                <w:bCs/>
                <w:color w:val="000000"/>
                <w:sz w:val="22"/>
                <w:szCs w:val="22"/>
              </w:rPr>
              <w:t>3020</w:t>
            </w:r>
          </w:p>
        </w:tc>
        <w:tc>
          <w:tcPr>
            <w:tcW w:w="6237"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981499" w14:textId="77777777" w:rsidR="00FA6BF1" w:rsidRPr="00702A1E" w:rsidRDefault="00091387">
            <w:pPr>
              <w:pStyle w:val="Standard"/>
              <w:rPr>
                <w:sz w:val="22"/>
                <w:szCs w:val="22"/>
              </w:rPr>
            </w:pPr>
            <w:r w:rsidRPr="00702A1E">
              <w:rPr>
                <w:b/>
                <w:bCs/>
                <w:color w:val="000000"/>
                <w:sz w:val="22"/>
                <w:szCs w:val="22"/>
              </w:rPr>
              <w:t>Zdravstvo</w:t>
            </w:r>
          </w:p>
        </w:tc>
      </w:tr>
      <w:tr w:rsidR="00FA6BF1" w:rsidRPr="00702A1E" w14:paraId="12549769" w14:textId="77777777" w:rsidTr="00FF68DC">
        <w:tc>
          <w:tcPr>
            <w:tcW w:w="15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AB1DEE0" w14:textId="77777777" w:rsidR="00FA6BF1" w:rsidRPr="00702A1E" w:rsidRDefault="00091387">
            <w:pPr>
              <w:pStyle w:val="Standard"/>
              <w:rPr>
                <w:sz w:val="22"/>
                <w:szCs w:val="22"/>
              </w:rPr>
            </w:pPr>
            <w:r w:rsidRPr="00702A1E">
              <w:rPr>
                <w:b/>
                <w:bCs/>
                <w:color w:val="000000"/>
                <w:sz w:val="22"/>
                <w:szCs w:val="22"/>
              </w:rPr>
              <w:t>Cilj:</w:t>
            </w:r>
          </w:p>
        </w:tc>
        <w:tc>
          <w:tcPr>
            <w:tcW w:w="7938"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C0048E" w14:textId="77777777" w:rsidR="00FA6BF1" w:rsidRPr="00702A1E" w:rsidRDefault="00091387" w:rsidP="00C97AA2">
            <w:pPr>
              <w:pStyle w:val="Textbody"/>
              <w:jc w:val="both"/>
              <w:rPr>
                <w:iCs/>
                <w:sz w:val="22"/>
                <w:szCs w:val="22"/>
              </w:rPr>
            </w:pPr>
            <w:r w:rsidRPr="00702A1E">
              <w:rPr>
                <w:iCs/>
                <w:sz w:val="22"/>
                <w:szCs w:val="22"/>
              </w:rPr>
              <w:t>Kvalitetno obavljanje djelatnosti hitne medicine i sanitetskog prijevoza sukladno propisima i osiguranje dostupnosti svima korisnicima na području Splitsko-dalmatinske županije.</w:t>
            </w:r>
          </w:p>
          <w:p w14:paraId="557B7282" w14:textId="3F4F3B74" w:rsidR="00FA6BF1" w:rsidRPr="00702A1E" w:rsidRDefault="00091387" w:rsidP="00C97AA2">
            <w:pPr>
              <w:pStyle w:val="Textbody"/>
              <w:jc w:val="both"/>
              <w:rPr>
                <w:iCs/>
                <w:sz w:val="22"/>
                <w:szCs w:val="22"/>
              </w:rPr>
            </w:pPr>
            <w:r w:rsidRPr="00702A1E">
              <w:rPr>
                <w:iCs/>
                <w:sz w:val="22"/>
                <w:szCs w:val="22"/>
              </w:rPr>
              <w:t xml:space="preserve">Cilj programa je povećanje dostupnosti hitne medicine  i skraćivanje vremena intervencije timova hitne medicine, brži transport </w:t>
            </w:r>
            <w:r w:rsidR="00BA0995" w:rsidRPr="00702A1E">
              <w:rPr>
                <w:iCs/>
                <w:sz w:val="22"/>
                <w:szCs w:val="22"/>
              </w:rPr>
              <w:t xml:space="preserve">i održavanje života </w:t>
            </w:r>
            <w:r w:rsidRPr="00702A1E">
              <w:rPr>
                <w:iCs/>
                <w:sz w:val="22"/>
                <w:szCs w:val="22"/>
              </w:rPr>
              <w:t>bolesnih i ozlijeđenih osoba do zdravstvene ustanove gdje će se poduzeti mjere definitivnog liječenja, prijevoz svih nepokretnih ili teško pokretnih osoba sanitetskim vozilima na liječenje.</w:t>
            </w:r>
          </w:p>
          <w:p w14:paraId="7BE4C488" w14:textId="77777777" w:rsidR="00FA6BF1" w:rsidRPr="00702A1E" w:rsidRDefault="00FA6BF1" w:rsidP="00C97AA2">
            <w:pPr>
              <w:pStyle w:val="Textbody"/>
              <w:jc w:val="both"/>
              <w:rPr>
                <w:iCs/>
                <w:sz w:val="22"/>
                <w:szCs w:val="22"/>
              </w:rPr>
            </w:pPr>
          </w:p>
        </w:tc>
      </w:tr>
      <w:tr w:rsidR="00FF68DC" w:rsidRPr="00702A1E" w14:paraId="0C08AB19" w14:textId="1743C21F" w:rsidTr="00FF68DC">
        <w:trPr>
          <w:trHeight w:val="218"/>
        </w:trPr>
        <w:tc>
          <w:tcPr>
            <w:tcW w:w="152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2415050" w14:textId="599681B9" w:rsidR="00FF68DC" w:rsidRPr="00702A1E" w:rsidRDefault="00FF68DC">
            <w:pPr>
              <w:pStyle w:val="Standard"/>
              <w:jc w:val="center"/>
              <w:rPr>
                <w:sz w:val="22"/>
                <w:szCs w:val="22"/>
              </w:rPr>
            </w:pPr>
            <w:r w:rsidRPr="00702A1E">
              <w:rPr>
                <w:b/>
                <w:bCs/>
                <w:color w:val="000000"/>
                <w:sz w:val="22"/>
                <w:szCs w:val="22"/>
              </w:rPr>
              <w:t>Izvršeno 202</w:t>
            </w:r>
            <w:r w:rsidR="00AA4C7E" w:rsidRPr="00702A1E">
              <w:rPr>
                <w:b/>
                <w:bCs/>
                <w:color w:val="000000"/>
                <w:sz w:val="22"/>
                <w:szCs w:val="22"/>
              </w:rPr>
              <w:t>2</w:t>
            </w:r>
            <w:r w:rsidRPr="00702A1E">
              <w:rPr>
                <w:b/>
                <w:bCs/>
                <w:color w:val="000000"/>
                <w:sz w:val="22"/>
                <w:szCs w:val="22"/>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EB2FD9B" w14:textId="0A75D85A" w:rsidR="00FF68DC" w:rsidRPr="00702A1E" w:rsidRDefault="00820E7E">
            <w:pPr>
              <w:pStyle w:val="Standard"/>
              <w:jc w:val="center"/>
              <w:rPr>
                <w:sz w:val="22"/>
                <w:szCs w:val="22"/>
              </w:rPr>
            </w:pPr>
            <w:r>
              <w:rPr>
                <w:b/>
                <w:bCs/>
                <w:color w:val="000000"/>
                <w:sz w:val="22"/>
                <w:szCs w:val="22"/>
              </w:rPr>
              <w:t>Financijski plan</w:t>
            </w:r>
            <w:r w:rsidR="00FF68DC" w:rsidRPr="00702A1E">
              <w:rPr>
                <w:b/>
                <w:bCs/>
                <w:color w:val="000000"/>
                <w:sz w:val="22"/>
                <w:szCs w:val="22"/>
              </w:rPr>
              <w:t xml:space="preserve"> 202</w:t>
            </w:r>
            <w:r w:rsidR="00AA4C7E" w:rsidRPr="00702A1E">
              <w:rPr>
                <w:b/>
                <w:bCs/>
                <w:color w:val="000000"/>
                <w:sz w:val="22"/>
                <w:szCs w:val="22"/>
              </w:rPr>
              <w:t>3</w:t>
            </w:r>
            <w:r w:rsidR="00FF68DC" w:rsidRPr="00702A1E">
              <w:rPr>
                <w:b/>
                <w:bCs/>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3B7F668" w14:textId="14D354E2" w:rsidR="00FF68DC" w:rsidRPr="00702A1E" w:rsidRDefault="00FF68DC">
            <w:pPr>
              <w:pStyle w:val="Standard"/>
              <w:jc w:val="center"/>
              <w:rPr>
                <w:sz w:val="22"/>
                <w:szCs w:val="22"/>
              </w:rPr>
            </w:pPr>
            <w:r w:rsidRPr="00702A1E">
              <w:rPr>
                <w:b/>
                <w:bCs/>
                <w:color w:val="000000"/>
                <w:sz w:val="22"/>
                <w:szCs w:val="22"/>
              </w:rPr>
              <w:t>I</w:t>
            </w:r>
            <w:r w:rsidR="00BB2E44">
              <w:rPr>
                <w:b/>
                <w:bCs/>
                <w:color w:val="000000"/>
                <w:sz w:val="22"/>
                <w:szCs w:val="22"/>
              </w:rPr>
              <w:t>I</w:t>
            </w:r>
            <w:r w:rsidRPr="00702A1E">
              <w:rPr>
                <w:b/>
                <w:bCs/>
                <w:color w:val="000000"/>
                <w:sz w:val="22"/>
                <w:szCs w:val="22"/>
              </w:rPr>
              <w:t>. Rebalans 202</w:t>
            </w:r>
            <w:r w:rsidR="00AA4C7E" w:rsidRPr="00702A1E">
              <w:rPr>
                <w:b/>
                <w:bCs/>
                <w:color w:val="000000"/>
                <w:sz w:val="22"/>
                <w:szCs w:val="22"/>
              </w:rPr>
              <w:t>3</w:t>
            </w:r>
            <w:r w:rsidRPr="00702A1E">
              <w:rPr>
                <w:b/>
                <w:bCs/>
                <w:color w:val="000000"/>
                <w:sz w:val="22"/>
                <w:szCs w:val="22"/>
              </w:rPr>
              <w:t>.</w:t>
            </w:r>
            <w:r w:rsidR="00AE09D7" w:rsidRPr="00702A1E">
              <w:rPr>
                <w:b/>
                <w:bCs/>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374B81D" w14:textId="365E656B" w:rsidR="00FF68DC" w:rsidRPr="00702A1E" w:rsidRDefault="00FF68DC">
            <w:pPr>
              <w:pStyle w:val="Standard"/>
              <w:jc w:val="center"/>
              <w:rPr>
                <w:sz w:val="22"/>
                <w:szCs w:val="22"/>
              </w:rPr>
            </w:pPr>
            <w:r w:rsidRPr="00702A1E">
              <w:rPr>
                <w:b/>
                <w:bCs/>
                <w:color w:val="000000"/>
                <w:sz w:val="22"/>
                <w:szCs w:val="22"/>
              </w:rPr>
              <w:t>Plan 202</w:t>
            </w:r>
            <w:r w:rsidR="00AA4C7E" w:rsidRPr="00702A1E">
              <w:rPr>
                <w:b/>
                <w:bCs/>
                <w:color w:val="000000"/>
                <w:sz w:val="22"/>
                <w:szCs w:val="22"/>
              </w:rPr>
              <w:t>4</w:t>
            </w:r>
            <w:r w:rsidRPr="00702A1E">
              <w:rPr>
                <w:b/>
                <w:bCs/>
                <w:color w:val="000000"/>
                <w:sz w:val="22"/>
                <w:szCs w:val="22"/>
              </w:rPr>
              <w:t>.</w:t>
            </w:r>
          </w:p>
        </w:tc>
        <w:tc>
          <w:tcPr>
            <w:tcW w:w="1560" w:type="dxa"/>
            <w:tcBorders>
              <w:top w:val="single" w:sz="4" w:space="0" w:color="00000A"/>
              <w:left w:val="single" w:sz="4" w:space="0" w:color="00000A"/>
              <w:bottom w:val="single" w:sz="4" w:space="0" w:color="00000A"/>
              <w:right w:val="single" w:sz="4" w:space="0" w:color="auto"/>
            </w:tcBorders>
            <w:shd w:val="clear" w:color="auto" w:fill="F2F2F2"/>
            <w:tcMar>
              <w:top w:w="0" w:type="dxa"/>
              <w:left w:w="108" w:type="dxa"/>
              <w:bottom w:w="0" w:type="dxa"/>
              <w:right w:w="108" w:type="dxa"/>
            </w:tcMar>
          </w:tcPr>
          <w:p w14:paraId="0FC8238E" w14:textId="773CFD2D" w:rsidR="00FF68DC" w:rsidRPr="00702A1E" w:rsidRDefault="00FF68DC" w:rsidP="00FF68DC">
            <w:pPr>
              <w:pStyle w:val="Standard"/>
              <w:rPr>
                <w:sz w:val="22"/>
                <w:szCs w:val="22"/>
              </w:rPr>
            </w:pPr>
            <w:r w:rsidRPr="00702A1E">
              <w:rPr>
                <w:b/>
                <w:bCs/>
                <w:color w:val="000000"/>
                <w:sz w:val="22"/>
                <w:szCs w:val="22"/>
              </w:rPr>
              <w:t>Projekcija 202</w:t>
            </w:r>
            <w:r w:rsidR="00AA4C7E" w:rsidRPr="00702A1E">
              <w:rPr>
                <w:b/>
                <w:bCs/>
                <w:color w:val="000000"/>
                <w:sz w:val="22"/>
                <w:szCs w:val="22"/>
              </w:rPr>
              <w:t>5</w:t>
            </w:r>
            <w:r w:rsidRPr="00702A1E">
              <w:rPr>
                <w:b/>
                <w:bCs/>
                <w:color w:val="000000"/>
                <w:sz w:val="22"/>
                <w:szCs w:val="22"/>
              </w:rPr>
              <w:t>.</w:t>
            </w:r>
          </w:p>
        </w:tc>
        <w:tc>
          <w:tcPr>
            <w:tcW w:w="1559" w:type="dxa"/>
            <w:tcBorders>
              <w:top w:val="single" w:sz="4" w:space="0" w:color="00000A"/>
              <w:left w:val="single" w:sz="4" w:space="0" w:color="auto"/>
              <w:bottom w:val="single" w:sz="4" w:space="0" w:color="00000A"/>
              <w:right w:val="single" w:sz="4" w:space="0" w:color="00000A"/>
            </w:tcBorders>
            <w:shd w:val="clear" w:color="auto" w:fill="F2F2F2"/>
          </w:tcPr>
          <w:p w14:paraId="1D7AE70C" w14:textId="4983AEA8" w:rsidR="00FF68DC" w:rsidRPr="00702A1E" w:rsidRDefault="00FF68DC" w:rsidP="00FF68DC">
            <w:pPr>
              <w:pStyle w:val="Standard"/>
              <w:rPr>
                <w:sz w:val="22"/>
                <w:szCs w:val="22"/>
              </w:rPr>
            </w:pPr>
            <w:r w:rsidRPr="00702A1E">
              <w:rPr>
                <w:b/>
                <w:bCs/>
                <w:color w:val="000000"/>
                <w:sz w:val="22"/>
                <w:szCs w:val="22"/>
              </w:rPr>
              <w:t>Projekcija 202</w:t>
            </w:r>
            <w:r w:rsidR="00AA4C7E" w:rsidRPr="00702A1E">
              <w:rPr>
                <w:b/>
                <w:bCs/>
                <w:color w:val="000000"/>
                <w:sz w:val="22"/>
                <w:szCs w:val="22"/>
              </w:rPr>
              <w:t>6</w:t>
            </w:r>
            <w:r w:rsidRPr="00702A1E">
              <w:rPr>
                <w:b/>
                <w:bCs/>
                <w:color w:val="000000"/>
                <w:sz w:val="22"/>
                <w:szCs w:val="22"/>
              </w:rPr>
              <w:t>.</w:t>
            </w:r>
          </w:p>
        </w:tc>
      </w:tr>
      <w:tr w:rsidR="00AE09D7" w:rsidRPr="00F12BCA" w14:paraId="751F9D71" w14:textId="388AADA0" w:rsidTr="00FF68DC">
        <w:trPr>
          <w:trHeight w:val="397"/>
        </w:trPr>
        <w:tc>
          <w:tcPr>
            <w:tcW w:w="1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988D83" w14:textId="0553E6AF" w:rsidR="00AE09D7" w:rsidRPr="00F12BCA" w:rsidRDefault="00AE09D7" w:rsidP="00AE09D7">
            <w:pPr>
              <w:pStyle w:val="Standard"/>
              <w:jc w:val="right"/>
              <w:rPr>
                <w:b/>
                <w:bCs/>
                <w:sz w:val="20"/>
                <w:szCs w:val="20"/>
              </w:rPr>
            </w:pPr>
            <w:r w:rsidRPr="00F12BCA">
              <w:rPr>
                <w:b/>
                <w:bCs/>
                <w:sz w:val="20"/>
                <w:szCs w:val="20"/>
              </w:rPr>
              <w:t>18.470.677,</w:t>
            </w:r>
            <w:r w:rsidR="00E85EA9" w:rsidRPr="00F12BCA">
              <w:rPr>
                <w:b/>
                <w:bCs/>
                <w:sz w:val="20"/>
                <w:szCs w:val="20"/>
              </w:rPr>
              <w:t>40</w:t>
            </w:r>
            <w:r w:rsidRPr="00F12BCA">
              <w:rPr>
                <w:b/>
                <w:bCs/>
                <w:sz w:val="20"/>
                <w:szCs w:val="20"/>
              </w:rPr>
              <w:t xml:space="preserve"> €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79B39B" w14:textId="7CC24482" w:rsidR="00AE09D7" w:rsidRPr="00F12BCA" w:rsidRDefault="008406D6" w:rsidP="00AE09D7">
            <w:pPr>
              <w:pStyle w:val="Standard"/>
              <w:jc w:val="right"/>
              <w:rPr>
                <w:b/>
                <w:bCs/>
                <w:sz w:val="20"/>
                <w:szCs w:val="20"/>
              </w:rPr>
            </w:pPr>
            <w:r w:rsidRPr="00F12BCA">
              <w:rPr>
                <w:b/>
                <w:bCs/>
                <w:sz w:val="20"/>
                <w:szCs w:val="20"/>
              </w:rPr>
              <w:t xml:space="preserve">19.591.825,63 </w:t>
            </w:r>
            <w:r w:rsidR="00AE09D7" w:rsidRPr="00F12BCA">
              <w:rPr>
                <w:b/>
                <w:bCs/>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C130F" w14:textId="6094F051" w:rsidR="00AE09D7" w:rsidRPr="00F12BCA" w:rsidRDefault="00820E7E" w:rsidP="00AE09D7">
            <w:pPr>
              <w:pStyle w:val="Standard"/>
              <w:jc w:val="right"/>
              <w:rPr>
                <w:b/>
                <w:bCs/>
                <w:sz w:val="20"/>
                <w:szCs w:val="20"/>
              </w:rPr>
            </w:pPr>
            <w:r>
              <w:rPr>
                <w:b/>
                <w:bCs/>
                <w:sz w:val="20"/>
                <w:szCs w:val="20"/>
              </w:rPr>
              <w:t>22.419.148,27</w:t>
            </w:r>
            <w:r w:rsidR="00B72274" w:rsidRPr="00F12BCA">
              <w:rPr>
                <w:b/>
                <w:bCs/>
                <w:sz w:val="20"/>
                <w:szCs w:val="20"/>
              </w:rPr>
              <w:t xml:space="preserve"> </w:t>
            </w:r>
            <w:r w:rsidR="00AE09D7" w:rsidRPr="00F12BCA">
              <w:rPr>
                <w:b/>
                <w:bCs/>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A3E071" w14:textId="04D3EBFF" w:rsidR="00AE09D7" w:rsidRPr="00F12BCA" w:rsidRDefault="00AE09D7" w:rsidP="00AE09D7">
            <w:pPr>
              <w:pStyle w:val="Standard"/>
              <w:jc w:val="right"/>
              <w:rPr>
                <w:b/>
                <w:bCs/>
                <w:sz w:val="20"/>
                <w:szCs w:val="20"/>
              </w:rPr>
            </w:pPr>
            <w:r w:rsidRPr="00F12BCA">
              <w:rPr>
                <w:b/>
                <w:bCs/>
                <w:sz w:val="20"/>
                <w:szCs w:val="20"/>
              </w:rPr>
              <w:t>24.819.000,00 €</w:t>
            </w:r>
          </w:p>
        </w:tc>
        <w:tc>
          <w:tcPr>
            <w:tcW w:w="156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2DE63F85" w14:textId="1436E489" w:rsidR="00AE09D7" w:rsidRPr="00F12BCA" w:rsidRDefault="00AE09D7" w:rsidP="00AE09D7">
            <w:pPr>
              <w:pStyle w:val="Standard"/>
              <w:rPr>
                <w:b/>
                <w:bCs/>
                <w:sz w:val="20"/>
                <w:szCs w:val="20"/>
              </w:rPr>
            </w:pPr>
            <w:r w:rsidRPr="00F12BCA">
              <w:rPr>
                <w:b/>
                <w:bCs/>
                <w:sz w:val="20"/>
                <w:szCs w:val="20"/>
              </w:rPr>
              <w:t>24.129.000,00 €</w:t>
            </w:r>
          </w:p>
        </w:tc>
        <w:tc>
          <w:tcPr>
            <w:tcW w:w="1559" w:type="dxa"/>
            <w:tcBorders>
              <w:top w:val="single" w:sz="4" w:space="0" w:color="00000A"/>
              <w:left w:val="single" w:sz="4" w:space="0" w:color="auto"/>
              <w:bottom w:val="single" w:sz="4" w:space="0" w:color="00000A"/>
              <w:right w:val="single" w:sz="4" w:space="0" w:color="00000A"/>
            </w:tcBorders>
            <w:shd w:val="clear" w:color="auto" w:fill="auto"/>
          </w:tcPr>
          <w:p w14:paraId="3B339690" w14:textId="4773E0F7" w:rsidR="00AE09D7" w:rsidRPr="00F12BCA" w:rsidRDefault="00D0156B" w:rsidP="00AE09D7">
            <w:pPr>
              <w:pStyle w:val="Standard"/>
              <w:rPr>
                <w:b/>
                <w:bCs/>
                <w:sz w:val="20"/>
                <w:szCs w:val="20"/>
              </w:rPr>
            </w:pPr>
            <w:r w:rsidRPr="00F12BCA">
              <w:rPr>
                <w:b/>
                <w:bCs/>
                <w:sz w:val="20"/>
                <w:szCs w:val="20"/>
              </w:rPr>
              <w:t xml:space="preserve"> 23.971.000,00 </w:t>
            </w:r>
            <w:r w:rsidR="00AE09D7" w:rsidRPr="00F12BCA">
              <w:rPr>
                <w:b/>
                <w:bCs/>
                <w:sz w:val="20"/>
                <w:szCs w:val="20"/>
              </w:rPr>
              <w:t>€</w:t>
            </w:r>
          </w:p>
        </w:tc>
      </w:tr>
    </w:tbl>
    <w:p w14:paraId="58E7E6DE" w14:textId="77777777" w:rsidR="00FA6BF1" w:rsidRPr="00F12BCA" w:rsidRDefault="00FA6BF1">
      <w:pPr>
        <w:pStyle w:val="Standard"/>
        <w:rPr>
          <w:color w:val="FF0000"/>
          <w:sz w:val="20"/>
          <w:szCs w:val="20"/>
        </w:rPr>
      </w:pPr>
    </w:p>
    <w:p w14:paraId="5390C55D" w14:textId="77777777" w:rsidR="00FA6BF1" w:rsidRPr="00702A1E" w:rsidRDefault="00FA6BF1">
      <w:pPr>
        <w:pStyle w:val="Standard"/>
        <w:rPr>
          <w:color w:val="FF0000"/>
          <w:sz w:val="22"/>
          <w:szCs w:val="22"/>
        </w:rPr>
      </w:pPr>
    </w:p>
    <w:tbl>
      <w:tblPr>
        <w:tblW w:w="9742" w:type="dxa"/>
        <w:tblInd w:w="-108" w:type="dxa"/>
        <w:tblLayout w:type="fixed"/>
        <w:tblCellMar>
          <w:left w:w="10" w:type="dxa"/>
          <w:right w:w="10" w:type="dxa"/>
        </w:tblCellMar>
        <w:tblLook w:val="04A0" w:firstRow="1" w:lastRow="0" w:firstColumn="1" w:lastColumn="0" w:noHBand="0" w:noVBand="1"/>
      </w:tblPr>
      <w:tblGrid>
        <w:gridCol w:w="1210"/>
        <w:gridCol w:w="1044"/>
        <w:gridCol w:w="957"/>
        <w:gridCol w:w="1271"/>
        <w:gridCol w:w="1141"/>
        <w:gridCol w:w="1211"/>
        <w:gridCol w:w="1262"/>
        <w:gridCol w:w="1646"/>
      </w:tblGrid>
      <w:tr w:rsidR="00FA6BF1" w:rsidRPr="00702A1E" w14:paraId="7A6DB3B3" w14:textId="77777777" w:rsidTr="00702A1E">
        <w:trPr>
          <w:trHeight w:val="651"/>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3F05E25" w14:textId="77777777" w:rsidR="00FA6BF1" w:rsidRPr="00702A1E" w:rsidRDefault="00091387">
            <w:pPr>
              <w:pStyle w:val="Standard"/>
              <w:jc w:val="center"/>
              <w:rPr>
                <w:sz w:val="22"/>
                <w:szCs w:val="22"/>
              </w:rPr>
            </w:pPr>
            <w:r w:rsidRPr="00702A1E">
              <w:rPr>
                <w:b/>
                <w:sz w:val="22"/>
                <w:szCs w:val="22"/>
              </w:rPr>
              <w:t>Pokazatelj učinka</w:t>
            </w:r>
          </w:p>
        </w:tc>
        <w:tc>
          <w:tcPr>
            <w:tcW w:w="104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75897B7" w14:textId="77777777" w:rsidR="00FA6BF1" w:rsidRPr="00702A1E" w:rsidRDefault="00091387">
            <w:pPr>
              <w:pStyle w:val="Standard"/>
              <w:jc w:val="center"/>
              <w:rPr>
                <w:sz w:val="22"/>
                <w:szCs w:val="22"/>
              </w:rPr>
            </w:pPr>
            <w:r w:rsidRPr="00702A1E">
              <w:rPr>
                <w:b/>
                <w:sz w:val="22"/>
                <w:szCs w:val="22"/>
              </w:rPr>
              <w:t>Definicija</w:t>
            </w:r>
          </w:p>
        </w:tc>
        <w:tc>
          <w:tcPr>
            <w:tcW w:w="9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C1456F" w14:textId="77777777" w:rsidR="00FA6BF1" w:rsidRPr="00702A1E" w:rsidRDefault="00091387">
            <w:pPr>
              <w:pStyle w:val="Standard"/>
              <w:jc w:val="center"/>
              <w:rPr>
                <w:sz w:val="22"/>
                <w:szCs w:val="22"/>
              </w:rPr>
            </w:pPr>
            <w:r w:rsidRPr="00702A1E">
              <w:rPr>
                <w:b/>
                <w:sz w:val="22"/>
                <w:szCs w:val="22"/>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D919A21" w14:textId="03A9D3C9" w:rsidR="00FA6BF1" w:rsidRPr="00702A1E" w:rsidRDefault="00091387">
            <w:pPr>
              <w:pStyle w:val="Standard"/>
              <w:jc w:val="center"/>
              <w:rPr>
                <w:sz w:val="22"/>
                <w:szCs w:val="22"/>
              </w:rPr>
            </w:pPr>
            <w:r w:rsidRPr="00702A1E">
              <w:rPr>
                <w:b/>
                <w:sz w:val="22"/>
                <w:szCs w:val="22"/>
              </w:rPr>
              <w:t>Polazna vrijednost 202</w:t>
            </w:r>
            <w:r w:rsidR="00E76181" w:rsidRPr="00702A1E">
              <w:rPr>
                <w:b/>
                <w:sz w:val="22"/>
                <w:szCs w:val="22"/>
              </w:rPr>
              <w:t>3</w:t>
            </w:r>
            <w:r w:rsidRPr="00702A1E">
              <w:rPr>
                <w:b/>
                <w:sz w:val="22"/>
                <w:szCs w:val="22"/>
              </w:rPr>
              <w:t>.</w:t>
            </w:r>
          </w:p>
        </w:tc>
        <w:tc>
          <w:tcPr>
            <w:tcW w:w="11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5D29F8E" w14:textId="77777777" w:rsidR="00FA6BF1" w:rsidRPr="00702A1E" w:rsidRDefault="00091387">
            <w:pPr>
              <w:pStyle w:val="Standard"/>
              <w:jc w:val="center"/>
              <w:rPr>
                <w:sz w:val="22"/>
                <w:szCs w:val="22"/>
              </w:rPr>
            </w:pPr>
            <w:r w:rsidRPr="00702A1E">
              <w:rPr>
                <w:b/>
                <w:sz w:val="22"/>
                <w:szCs w:val="22"/>
              </w:rPr>
              <w:t>Izvor podataka</w:t>
            </w:r>
          </w:p>
        </w:tc>
        <w:tc>
          <w:tcPr>
            <w:tcW w:w="121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C3FF3F0" w14:textId="04E358B3"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4</w:t>
            </w:r>
            <w:r w:rsidRPr="00702A1E">
              <w:rPr>
                <w:b/>
                <w:sz w:val="22"/>
                <w:szCs w:val="22"/>
              </w:rPr>
              <w:t>.</w:t>
            </w:r>
          </w:p>
        </w:tc>
        <w:tc>
          <w:tcPr>
            <w:tcW w:w="12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C7E007F" w14:textId="2AA765C1"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5</w:t>
            </w:r>
            <w:r w:rsidRPr="00702A1E">
              <w:rPr>
                <w:b/>
                <w:sz w:val="22"/>
                <w:szCs w:val="22"/>
              </w:rPr>
              <w:t>.</w:t>
            </w:r>
          </w:p>
        </w:tc>
        <w:tc>
          <w:tcPr>
            <w:tcW w:w="1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8E5FED4" w14:textId="1A3C6495"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6</w:t>
            </w:r>
            <w:r w:rsidRPr="00702A1E">
              <w:rPr>
                <w:b/>
                <w:sz w:val="22"/>
                <w:szCs w:val="22"/>
              </w:rPr>
              <w:t>.</w:t>
            </w:r>
          </w:p>
        </w:tc>
      </w:tr>
      <w:tr w:rsidR="00FA6BF1" w:rsidRPr="00702A1E" w14:paraId="4C8226AA" w14:textId="77777777" w:rsidTr="00702A1E">
        <w:trPr>
          <w:trHeight w:val="219"/>
        </w:trPr>
        <w:tc>
          <w:tcPr>
            <w:tcW w:w="12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93CC11" w14:textId="77777777" w:rsidR="00FA6BF1" w:rsidRPr="00702A1E" w:rsidRDefault="00091387">
            <w:pPr>
              <w:pStyle w:val="Standard"/>
              <w:rPr>
                <w:sz w:val="22"/>
                <w:szCs w:val="22"/>
              </w:rPr>
            </w:pPr>
            <w:r w:rsidRPr="00702A1E">
              <w:rPr>
                <w:sz w:val="22"/>
                <w:szCs w:val="22"/>
              </w:rPr>
              <w:t>Kontinuitet u održavanju kratkog vremena odaziva od zaprimanja poziva do dolaska na intervenciju</w:t>
            </w:r>
          </w:p>
          <w:p w14:paraId="0A0893B4" w14:textId="77777777" w:rsidR="00FA6BF1" w:rsidRPr="00702A1E" w:rsidRDefault="00FA6BF1">
            <w:pPr>
              <w:pStyle w:val="Standard"/>
              <w:rPr>
                <w:color w:val="FF0000"/>
                <w:sz w:val="22"/>
                <w:szCs w:val="22"/>
              </w:rPr>
            </w:pPr>
          </w:p>
          <w:p w14:paraId="0617069C" w14:textId="77777777" w:rsidR="00FA6BF1" w:rsidRPr="00702A1E" w:rsidRDefault="00FA6BF1">
            <w:pPr>
              <w:pStyle w:val="Standard"/>
              <w:rPr>
                <w:color w:val="FF0000"/>
                <w:sz w:val="22"/>
                <w:szCs w:val="22"/>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653436" w14:textId="77777777" w:rsidR="00FA6BF1" w:rsidRPr="00702A1E" w:rsidRDefault="00091387">
            <w:pPr>
              <w:pStyle w:val="Textbody"/>
              <w:rPr>
                <w:sz w:val="22"/>
                <w:szCs w:val="22"/>
              </w:rPr>
            </w:pPr>
            <w:r w:rsidRPr="00702A1E">
              <w:rPr>
                <w:sz w:val="22"/>
                <w:szCs w:val="22"/>
              </w:rPr>
              <w:t>Brzim dolaskom na mjesto intervencije veće su mogućnosti spašavanja života i očuvanja zdravlja osoba</w:t>
            </w:r>
          </w:p>
          <w:p w14:paraId="1190D589" w14:textId="77777777" w:rsidR="00FA6BF1" w:rsidRPr="00702A1E" w:rsidRDefault="00FA6BF1">
            <w:pPr>
              <w:pStyle w:val="Standard"/>
              <w:rPr>
                <w:sz w:val="22"/>
                <w:szCs w:val="22"/>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5C9B0B" w14:textId="77777777" w:rsidR="00FA6BF1" w:rsidRPr="00702A1E" w:rsidRDefault="00091387">
            <w:pPr>
              <w:pStyle w:val="Standard"/>
              <w:rPr>
                <w:sz w:val="22"/>
                <w:szCs w:val="22"/>
              </w:rPr>
            </w:pPr>
            <w:r w:rsidRPr="00702A1E">
              <w:rPr>
                <w:sz w:val="22"/>
                <w:szCs w:val="22"/>
              </w:rPr>
              <w:t>minuta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B4F0A2" w14:textId="77777777" w:rsidR="00FA6BF1" w:rsidRPr="00702A1E" w:rsidRDefault="00091387">
            <w:pPr>
              <w:pStyle w:val="Standard"/>
              <w:rPr>
                <w:sz w:val="22"/>
                <w:szCs w:val="22"/>
              </w:rPr>
            </w:pPr>
            <w:r w:rsidRPr="00702A1E">
              <w:rPr>
                <w:sz w:val="22"/>
                <w:szCs w:val="22"/>
              </w:rPr>
              <w:t>13</w:t>
            </w:r>
          </w:p>
        </w:tc>
        <w:tc>
          <w:tcPr>
            <w:tcW w:w="11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801F3D" w14:textId="48003793" w:rsidR="00FA6BF1" w:rsidRPr="00702A1E" w:rsidRDefault="00091387">
            <w:pPr>
              <w:pStyle w:val="Standard"/>
              <w:rPr>
                <w:sz w:val="22"/>
                <w:szCs w:val="22"/>
              </w:rPr>
            </w:pPr>
            <w:r w:rsidRPr="00702A1E">
              <w:rPr>
                <w:sz w:val="22"/>
                <w:szCs w:val="22"/>
              </w:rPr>
              <w:t>Z</w:t>
            </w:r>
            <w:r w:rsidR="00A43490" w:rsidRPr="00702A1E">
              <w:rPr>
                <w:sz w:val="22"/>
                <w:szCs w:val="22"/>
              </w:rPr>
              <w:t>avod</w:t>
            </w: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3B3D54" w14:textId="77777777" w:rsidR="00FA6BF1" w:rsidRPr="00702A1E" w:rsidRDefault="00091387">
            <w:pPr>
              <w:pStyle w:val="Standard"/>
              <w:rPr>
                <w:sz w:val="22"/>
                <w:szCs w:val="22"/>
              </w:rPr>
            </w:pPr>
            <w:r w:rsidRPr="00702A1E">
              <w:rPr>
                <w:sz w:val="22"/>
                <w:szCs w:val="22"/>
              </w:rPr>
              <w:t>13</w:t>
            </w:r>
          </w:p>
        </w:tc>
        <w:tc>
          <w:tcPr>
            <w:tcW w:w="1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AC9502" w14:textId="77777777" w:rsidR="00FA6BF1" w:rsidRPr="00702A1E" w:rsidRDefault="00091387">
            <w:pPr>
              <w:pStyle w:val="Standard"/>
              <w:rPr>
                <w:sz w:val="22"/>
                <w:szCs w:val="22"/>
              </w:rPr>
            </w:pPr>
            <w:r w:rsidRPr="00702A1E">
              <w:rPr>
                <w:sz w:val="22"/>
                <w:szCs w:val="22"/>
              </w:rPr>
              <w:t>13</w:t>
            </w:r>
          </w:p>
        </w:tc>
        <w:tc>
          <w:tcPr>
            <w:tcW w:w="1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DD513B" w14:textId="77777777" w:rsidR="00FA6BF1" w:rsidRPr="00702A1E" w:rsidRDefault="00091387">
            <w:pPr>
              <w:pStyle w:val="Standard"/>
              <w:rPr>
                <w:sz w:val="22"/>
                <w:szCs w:val="22"/>
              </w:rPr>
            </w:pPr>
            <w:r w:rsidRPr="00702A1E">
              <w:rPr>
                <w:sz w:val="22"/>
                <w:szCs w:val="22"/>
              </w:rPr>
              <w:t>13</w:t>
            </w:r>
          </w:p>
        </w:tc>
      </w:tr>
      <w:tr w:rsidR="00FA6BF1" w:rsidRPr="00702A1E" w14:paraId="1488E2C4" w14:textId="77777777" w:rsidTr="00702A1E">
        <w:trPr>
          <w:trHeight w:val="219"/>
        </w:trPr>
        <w:tc>
          <w:tcPr>
            <w:tcW w:w="12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12269E" w14:textId="77777777" w:rsidR="00FA6BF1" w:rsidRPr="00702A1E" w:rsidRDefault="00091387">
            <w:pPr>
              <w:pStyle w:val="Standard"/>
              <w:rPr>
                <w:sz w:val="22"/>
                <w:szCs w:val="22"/>
              </w:rPr>
            </w:pPr>
            <w:r w:rsidRPr="00702A1E">
              <w:rPr>
                <w:sz w:val="22"/>
                <w:szCs w:val="22"/>
              </w:rPr>
              <w:t>Povećan postotak  povrata spontanog krvotoka (ROSC) do OHBP-a prema UTSTEIN obrascu</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605397" w14:textId="77777777" w:rsidR="00FA6BF1" w:rsidRPr="00702A1E" w:rsidRDefault="00091387">
            <w:pPr>
              <w:pStyle w:val="Standard"/>
              <w:rPr>
                <w:sz w:val="22"/>
                <w:szCs w:val="22"/>
              </w:rPr>
            </w:pPr>
            <w:r w:rsidRPr="00702A1E">
              <w:rPr>
                <w:sz w:val="22"/>
                <w:szCs w:val="22"/>
              </w:rPr>
              <w:t>Povratak krvotoka (cirkulacije) spašava ljudski život</w:t>
            </w:r>
          </w:p>
        </w:tc>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399AE" w14:textId="77777777" w:rsidR="00FA6BF1" w:rsidRPr="00702A1E" w:rsidRDefault="00091387">
            <w:pPr>
              <w:pStyle w:val="Standard"/>
              <w:rPr>
                <w:sz w:val="22"/>
                <w:szCs w:val="22"/>
              </w:rPr>
            </w:pPr>
            <w:r w:rsidRPr="00702A1E">
              <w:rPr>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DB692C" w14:textId="3D999DC2" w:rsidR="00FA6BF1" w:rsidRPr="00702A1E" w:rsidRDefault="00E76181">
            <w:pPr>
              <w:pStyle w:val="Standard"/>
              <w:rPr>
                <w:sz w:val="22"/>
                <w:szCs w:val="22"/>
              </w:rPr>
            </w:pPr>
            <w:r w:rsidRPr="00702A1E">
              <w:rPr>
                <w:sz w:val="22"/>
                <w:szCs w:val="22"/>
              </w:rPr>
              <w:t>15,3</w:t>
            </w:r>
          </w:p>
          <w:p w14:paraId="465EA955" w14:textId="77777777" w:rsidR="00FA6BF1" w:rsidRPr="00702A1E" w:rsidRDefault="00FA6BF1">
            <w:pPr>
              <w:pStyle w:val="Standard"/>
              <w:rPr>
                <w:sz w:val="22"/>
                <w:szCs w:val="22"/>
              </w:rPr>
            </w:pPr>
          </w:p>
        </w:tc>
        <w:tc>
          <w:tcPr>
            <w:tcW w:w="11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92EE62" w14:textId="3731BFEC" w:rsidR="00FA6BF1" w:rsidRPr="00702A1E" w:rsidRDefault="00091387">
            <w:pPr>
              <w:pStyle w:val="Standard"/>
              <w:rPr>
                <w:sz w:val="22"/>
                <w:szCs w:val="22"/>
              </w:rPr>
            </w:pPr>
            <w:r w:rsidRPr="00702A1E">
              <w:rPr>
                <w:sz w:val="22"/>
                <w:szCs w:val="22"/>
              </w:rPr>
              <w:t>Z</w:t>
            </w:r>
            <w:r w:rsidR="00A43490" w:rsidRPr="00702A1E">
              <w:rPr>
                <w:sz w:val="22"/>
                <w:szCs w:val="22"/>
              </w:rPr>
              <w:t>avod</w:t>
            </w: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CFEA88" w14:textId="17ACB1C7" w:rsidR="00FA6BF1" w:rsidRPr="00702A1E" w:rsidRDefault="00E76181">
            <w:pPr>
              <w:pStyle w:val="Standard"/>
              <w:rPr>
                <w:sz w:val="22"/>
                <w:szCs w:val="22"/>
              </w:rPr>
            </w:pPr>
            <w:r w:rsidRPr="00702A1E">
              <w:rPr>
                <w:sz w:val="22"/>
                <w:szCs w:val="22"/>
              </w:rPr>
              <w:t>16</w:t>
            </w:r>
          </w:p>
        </w:tc>
        <w:tc>
          <w:tcPr>
            <w:tcW w:w="1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6567CD" w14:textId="71DA507B" w:rsidR="00FA6BF1" w:rsidRPr="00702A1E" w:rsidRDefault="00091387">
            <w:pPr>
              <w:pStyle w:val="Standard"/>
              <w:rPr>
                <w:sz w:val="22"/>
                <w:szCs w:val="22"/>
              </w:rPr>
            </w:pPr>
            <w:r w:rsidRPr="00702A1E">
              <w:rPr>
                <w:sz w:val="22"/>
                <w:szCs w:val="22"/>
              </w:rPr>
              <w:t>1</w:t>
            </w:r>
            <w:r w:rsidR="00E76181" w:rsidRPr="00702A1E">
              <w:rPr>
                <w:sz w:val="22"/>
                <w:szCs w:val="22"/>
              </w:rPr>
              <w:t>7</w:t>
            </w:r>
          </w:p>
        </w:tc>
        <w:tc>
          <w:tcPr>
            <w:tcW w:w="1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C222E" w14:textId="5E785E0A" w:rsidR="00FA6BF1" w:rsidRPr="00702A1E" w:rsidRDefault="00091387">
            <w:pPr>
              <w:pStyle w:val="Standard"/>
              <w:rPr>
                <w:sz w:val="22"/>
                <w:szCs w:val="22"/>
              </w:rPr>
            </w:pPr>
            <w:r w:rsidRPr="00702A1E">
              <w:rPr>
                <w:sz w:val="22"/>
                <w:szCs w:val="22"/>
              </w:rPr>
              <w:t>1</w:t>
            </w:r>
            <w:r w:rsidR="00E76181" w:rsidRPr="00702A1E">
              <w:rPr>
                <w:sz w:val="22"/>
                <w:szCs w:val="22"/>
              </w:rPr>
              <w:t>8</w:t>
            </w:r>
          </w:p>
          <w:p w14:paraId="6AC7F82E" w14:textId="77777777" w:rsidR="00FA6BF1" w:rsidRPr="00702A1E" w:rsidRDefault="00FA6BF1">
            <w:pPr>
              <w:pStyle w:val="Standard"/>
              <w:rPr>
                <w:sz w:val="22"/>
                <w:szCs w:val="22"/>
              </w:rPr>
            </w:pPr>
          </w:p>
        </w:tc>
      </w:tr>
      <w:tr w:rsidR="00FA6BF1" w:rsidRPr="00702A1E" w14:paraId="20074ACB" w14:textId="77777777" w:rsidTr="00702A1E">
        <w:trPr>
          <w:trHeight w:val="219"/>
        </w:trPr>
        <w:tc>
          <w:tcPr>
            <w:tcW w:w="12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03BF6" w14:textId="77777777" w:rsidR="00FA6BF1" w:rsidRPr="00702A1E" w:rsidRDefault="00FA6BF1">
            <w:pPr>
              <w:pStyle w:val="Standard"/>
              <w:rPr>
                <w:sz w:val="22"/>
                <w:szCs w:val="22"/>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94681" w14:textId="77777777" w:rsidR="00FA6BF1" w:rsidRPr="00702A1E" w:rsidRDefault="00FA6BF1">
            <w:pPr>
              <w:pStyle w:val="Standard"/>
              <w:rPr>
                <w:sz w:val="22"/>
                <w:szCs w:val="22"/>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D27931" w14:textId="77777777" w:rsidR="00FA6BF1" w:rsidRPr="00702A1E" w:rsidRDefault="00FA6BF1">
            <w:pPr>
              <w:pStyle w:val="Standard"/>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7FF45E" w14:textId="77777777" w:rsidR="00FA6BF1" w:rsidRPr="00702A1E" w:rsidRDefault="00FA6BF1">
            <w:pPr>
              <w:pStyle w:val="Standard"/>
              <w:rPr>
                <w:sz w:val="22"/>
                <w:szCs w:val="22"/>
              </w:rPr>
            </w:pPr>
          </w:p>
        </w:tc>
        <w:tc>
          <w:tcPr>
            <w:tcW w:w="11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CE6A08" w14:textId="77777777" w:rsidR="00FA6BF1" w:rsidRPr="00702A1E" w:rsidRDefault="00FA6BF1">
            <w:pPr>
              <w:pStyle w:val="Standard"/>
              <w:rPr>
                <w:sz w:val="22"/>
                <w:szCs w:val="22"/>
              </w:rPr>
            </w:pP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C66B02" w14:textId="77777777" w:rsidR="00FA6BF1" w:rsidRPr="00702A1E" w:rsidRDefault="00FA6BF1">
            <w:pPr>
              <w:pStyle w:val="Standard"/>
              <w:rPr>
                <w:sz w:val="22"/>
                <w:szCs w:val="22"/>
              </w:rPr>
            </w:pPr>
          </w:p>
        </w:tc>
        <w:tc>
          <w:tcPr>
            <w:tcW w:w="1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03F03F" w14:textId="77777777" w:rsidR="00FA6BF1" w:rsidRPr="00702A1E" w:rsidRDefault="00FA6BF1">
            <w:pPr>
              <w:pStyle w:val="Standard"/>
              <w:rPr>
                <w:sz w:val="22"/>
                <w:szCs w:val="22"/>
              </w:rPr>
            </w:pPr>
          </w:p>
        </w:tc>
        <w:tc>
          <w:tcPr>
            <w:tcW w:w="1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249225" w14:textId="77777777" w:rsidR="00FA6BF1" w:rsidRPr="00702A1E" w:rsidRDefault="00FA6BF1">
            <w:pPr>
              <w:pStyle w:val="Standard"/>
              <w:rPr>
                <w:sz w:val="22"/>
                <w:szCs w:val="22"/>
              </w:rPr>
            </w:pPr>
          </w:p>
        </w:tc>
      </w:tr>
      <w:tr w:rsidR="00FA6BF1" w:rsidRPr="00702A1E" w14:paraId="75326BC6" w14:textId="77777777" w:rsidTr="00702A1E">
        <w:trPr>
          <w:trHeight w:val="51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2CD0DCF" w14:textId="77777777" w:rsidR="00FA6BF1" w:rsidRPr="00702A1E" w:rsidRDefault="00091387">
            <w:pPr>
              <w:pStyle w:val="Standard"/>
              <w:rPr>
                <w:sz w:val="22"/>
                <w:szCs w:val="22"/>
              </w:rPr>
            </w:pPr>
            <w:r w:rsidRPr="00702A1E">
              <w:rPr>
                <w:b/>
                <w:bCs/>
                <w:color w:val="000000"/>
                <w:sz w:val="22"/>
                <w:szCs w:val="22"/>
              </w:rPr>
              <w:lastRenderedPageBreak/>
              <w:t>Aktivnost/ Projekt:</w:t>
            </w:r>
          </w:p>
        </w:tc>
        <w:tc>
          <w:tcPr>
            <w:tcW w:w="20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97A3A8" w14:textId="77777777" w:rsidR="00FA6BF1" w:rsidRPr="00702A1E" w:rsidRDefault="00091387">
            <w:pPr>
              <w:pStyle w:val="Standard"/>
              <w:rPr>
                <w:sz w:val="22"/>
                <w:szCs w:val="22"/>
              </w:rPr>
            </w:pPr>
            <w:r w:rsidRPr="00702A1E">
              <w:rPr>
                <w:b/>
                <w:bCs/>
                <w:color w:val="000000"/>
                <w:sz w:val="22"/>
                <w:szCs w:val="22"/>
              </w:rPr>
              <w:t>A003020A302001</w:t>
            </w:r>
          </w:p>
        </w:tc>
        <w:tc>
          <w:tcPr>
            <w:tcW w:w="652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6E1543" w14:textId="77777777" w:rsidR="00FA6BF1" w:rsidRPr="00702A1E" w:rsidRDefault="00091387">
            <w:pPr>
              <w:pStyle w:val="Standard"/>
              <w:rPr>
                <w:sz w:val="22"/>
                <w:szCs w:val="22"/>
              </w:rPr>
            </w:pPr>
            <w:r w:rsidRPr="00702A1E">
              <w:rPr>
                <w:b/>
                <w:bCs/>
                <w:color w:val="000000"/>
                <w:sz w:val="22"/>
                <w:szCs w:val="22"/>
              </w:rPr>
              <w:t>Rashodi djelatnosti</w:t>
            </w:r>
          </w:p>
        </w:tc>
      </w:tr>
      <w:tr w:rsidR="00FA6BF1" w:rsidRPr="00702A1E" w14:paraId="3F71F494" w14:textId="77777777" w:rsidTr="00702A1E">
        <w:trPr>
          <w:trHeight w:val="51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A5D933A" w14:textId="77777777" w:rsidR="00FA6BF1" w:rsidRPr="00702A1E" w:rsidRDefault="00091387">
            <w:pPr>
              <w:pStyle w:val="Standard"/>
              <w:rPr>
                <w:sz w:val="22"/>
                <w:szCs w:val="22"/>
              </w:rPr>
            </w:pPr>
            <w:r w:rsidRPr="00702A1E">
              <w:rPr>
                <w:b/>
                <w:bCs/>
                <w:color w:val="000000"/>
                <w:sz w:val="22"/>
                <w:szCs w:val="22"/>
              </w:rPr>
              <w:t>Zakonska i druga pravna osnova:</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C7FAEC" w14:textId="3DF105EF" w:rsidR="00FA6BF1" w:rsidRPr="00702A1E" w:rsidRDefault="00091387" w:rsidP="00C97AA2">
            <w:pPr>
              <w:pStyle w:val="Standard"/>
              <w:jc w:val="both"/>
              <w:rPr>
                <w:sz w:val="22"/>
                <w:szCs w:val="22"/>
              </w:rPr>
            </w:pPr>
            <w:r w:rsidRPr="00702A1E">
              <w:rPr>
                <w:rFonts w:eastAsia="Symbol"/>
                <w:sz w:val="22"/>
                <w:szCs w:val="22"/>
                <w:lang w:val="pl-PL"/>
              </w:rPr>
              <w:t xml:space="preserve">Zakon o zdravstvenoj zaštiti, Zakon o obveznom zdravstvenom osiguranju, </w:t>
            </w:r>
            <w:r w:rsidR="003F705E" w:rsidRPr="00702A1E">
              <w:rPr>
                <w:rFonts w:eastAsia="Symbol"/>
                <w:sz w:val="22"/>
                <w:szCs w:val="22"/>
                <w:lang w:val="pl-PL"/>
              </w:rPr>
              <w:t xml:space="preserve">Zakon o proračunu, </w:t>
            </w:r>
            <w:r w:rsidRPr="00702A1E">
              <w:rPr>
                <w:rFonts w:eastAsia="Symbol"/>
                <w:sz w:val="22"/>
                <w:szCs w:val="22"/>
                <w:lang w:val="pl-PL"/>
              </w:rPr>
              <w:t>Pravilnik o proračunskom računovodstvu i računskom planu, Kolektivni ugovor za djelatnost zdravstva i zdravstvenog osiguranja, Ugovor s HZZO-om, Sporazumi o sufinanciranju s jedinicama lokalne samouprave,</w:t>
            </w:r>
            <w:r w:rsidR="0074131A" w:rsidRPr="00702A1E">
              <w:rPr>
                <w:rFonts w:eastAsia="Symbol"/>
                <w:sz w:val="22"/>
                <w:szCs w:val="22"/>
                <w:lang w:val="pl-PL"/>
              </w:rPr>
              <w:t xml:space="preserve"> Odluka o isplati razlike iznosa uvećanja plaće za prekovremeni rad radnicima u djelatnosti zdravstva i zdravstvenog osiguranja (Vlada RH),</w:t>
            </w:r>
            <w:r w:rsidR="00D0156B" w:rsidRPr="00702A1E">
              <w:rPr>
                <w:rFonts w:eastAsia="Symbol"/>
                <w:sz w:val="22"/>
                <w:szCs w:val="22"/>
                <w:lang w:val="pl-PL"/>
              </w:rPr>
              <w:t xml:space="preserve"> Odluka o namjenskoj pomoći zdravstvenim ustanovama čiji je osnivača Republika Hrvatska i jedinica lokalne i područne (regionalne) samouprave (NN 87/2023) od 27.07.2023.g.,</w:t>
            </w:r>
            <w:r w:rsidR="0074131A" w:rsidRPr="00702A1E">
              <w:rPr>
                <w:rFonts w:eastAsia="Symbol"/>
                <w:sz w:val="22"/>
                <w:szCs w:val="22"/>
                <w:lang w:val="pl-PL"/>
              </w:rPr>
              <w:t xml:space="preserve"> </w:t>
            </w:r>
            <w:r w:rsidR="00246283" w:rsidRPr="00702A1E">
              <w:rPr>
                <w:rFonts w:eastAsia="Symbol"/>
                <w:sz w:val="22"/>
                <w:szCs w:val="22"/>
                <w:lang w:val="pl-PL"/>
              </w:rPr>
              <w:t xml:space="preserve">Odluka o isplati privremenog dodatka na plaću državnim službenicima i namještnicima te službenicima u javnim službama (NN 65/2023), </w:t>
            </w:r>
            <w:r w:rsidRPr="00702A1E">
              <w:rPr>
                <w:sz w:val="22"/>
                <w:szCs w:val="22"/>
              </w:rPr>
              <w:t>Upute za izradu Proračuna Splitsko-dalmatinske županije za razdoblje 202</w:t>
            </w:r>
            <w:r w:rsidR="00D0156B" w:rsidRPr="00702A1E">
              <w:rPr>
                <w:sz w:val="22"/>
                <w:szCs w:val="22"/>
              </w:rPr>
              <w:t>4</w:t>
            </w:r>
            <w:r w:rsidRPr="00702A1E">
              <w:rPr>
                <w:sz w:val="22"/>
                <w:szCs w:val="22"/>
              </w:rPr>
              <w:t>.g.-202</w:t>
            </w:r>
            <w:r w:rsidR="00D0156B" w:rsidRPr="00702A1E">
              <w:rPr>
                <w:sz w:val="22"/>
                <w:szCs w:val="22"/>
              </w:rPr>
              <w:t>6</w:t>
            </w:r>
            <w:r w:rsidRPr="00702A1E">
              <w:rPr>
                <w:sz w:val="22"/>
                <w:szCs w:val="22"/>
              </w:rPr>
              <w:t>.g.</w:t>
            </w:r>
          </w:p>
          <w:p w14:paraId="55F1FC89" w14:textId="77777777" w:rsidR="00FA6BF1" w:rsidRPr="00702A1E" w:rsidRDefault="00FA6BF1" w:rsidP="00C97AA2">
            <w:pPr>
              <w:pStyle w:val="Standard"/>
              <w:rPr>
                <w:rFonts w:eastAsia="Symbol"/>
                <w:i/>
                <w:color w:val="FF0000"/>
                <w:sz w:val="22"/>
                <w:szCs w:val="22"/>
                <w:lang w:val="pl-PL"/>
              </w:rPr>
            </w:pPr>
          </w:p>
        </w:tc>
      </w:tr>
      <w:tr w:rsidR="00FA6BF1" w:rsidRPr="00702A1E" w14:paraId="1BB0C98E" w14:textId="77777777" w:rsidTr="00702A1E">
        <w:trPr>
          <w:trHeight w:val="25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1C09F52" w14:textId="77777777" w:rsidR="00FA6BF1" w:rsidRPr="00702A1E" w:rsidRDefault="00091387">
            <w:pPr>
              <w:pStyle w:val="Standard"/>
              <w:rPr>
                <w:sz w:val="22"/>
                <w:szCs w:val="22"/>
              </w:rPr>
            </w:pPr>
            <w:r w:rsidRPr="00702A1E">
              <w:rPr>
                <w:b/>
                <w:bCs/>
                <w:color w:val="000000"/>
                <w:sz w:val="22"/>
                <w:szCs w:val="22"/>
              </w:rPr>
              <w:t>Opis aktivnosti / projekta</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F814F1" w14:textId="7B6FB35F" w:rsidR="003F705E" w:rsidRPr="00702A1E" w:rsidRDefault="003F705E" w:rsidP="00C97AA2">
            <w:pPr>
              <w:spacing w:line="240" w:lineRule="auto"/>
              <w:jc w:val="both"/>
              <w:rPr>
                <w:rFonts w:ascii="Times New Roman" w:hAnsi="Times New Roman" w:cs="Times New Roman"/>
                <w:bCs/>
              </w:rPr>
            </w:pPr>
            <w:r w:rsidRPr="00702A1E">
              <w:rPr>
                <w:rFonts w:ascii="Times New Roman" w:hAnsi="Times New Roman" w:cs="Times New Roman"/>
                <w:bCs/>
              </w:rPr>
              <w:t xml:space="preserve">Svrha ove aktivnosti je uredno poslovanje i odvijanje svih radnih procesa u </w:t>
            </w:r>
            <w:r w:rsidR="007F782D" w:rsidRPr="00702A1E">
              <w:rPr>
                <w:rFonts w:ascii="Times New Roman" w:hAnsi="Times New Roman" w:cs="Times New Roman"/>
                <w:bCs/>
              </w:rPr>
              <w:t>Zavodu</w:t>
            </w:r>
            <w:r w:rsidRPr="00702A1E">
              <w:rPr>
                <w:rFonts w:ascii="Times New Roman" w:hAnsi="Times New Roman" w:cs="Times New Roman"/>
                <w:bCs/>
              </w:rPr>
              <w:t xml:space="preserve"> u cilju osiguranja uvjeta za pružanje kvalitetne hitne medicine i sanitetskog prijevoza sukladno zakonskim propisima.</w:t>
            </w:r>
          </w:p>
          <w:p w14:paraId="6F55E280" w14:textId="2BCC17D8" w:rsidR="00FA6BF1" w:rsidRPr="00702A1E" w:rsidRDefault="00091387" w:rsidP="00C97AA2">
            <w:pPr>
              <w:spacing w:line="240" w:lineRule="auto"/>
              <w:jc w:val="both"/>
              <w:rPr>
                <w:rFonts w:ascii="Times New Roman" w:hAnsi="Times New Roman" w:cs="Times New Roman"/>
              </w:rPr>
            </w:pPr>
            <w:r w:rsidRPr="00702A1E">
              <w:rPr>
                <w:rFonts w:ascii="Times New Roman" w:hAnsi="Times New Roman" w:cs="Times New Roman"/>
              </w:rPr>
              <w:t>Temelj za realizaciju ove aktivnosti je ugovor zaključen s Hrvatskim zavodom za zdravstveno osiguranje. Prihodima od HZZO-a predviđeno je financiranje 100 ugovorenih timova hitne medicine (75 timova T-1 i 25 timova T-2), 3 tima pripravnosti, 5 timova u PDJ, 5 timova hitnog zračnog medicinskog prijevoza i 35 timova sanitetskog prijevoza. Također, prihod od HZZO-a se ostvaruje za pružene usluge neosiguranim osobama (strancima na temelju europske kartice) i naknade za prijeđene kilometre.</w:t>
            </w:r>
          </w:p>
          <w:p w14:paraId="4CDF4C60" w14:textId="66E68F3C" w:rsidR="00FA6BF1" w:rsidRPr="00702A1E" w:rsidRDefault="00091387" w:rsidP="00C97AA2">
            <w:pPr>
              <w:snapToGrid w:val="0"/>
              <w:spacing w:line="240" w:lineRule="auto"/>
              <w:jc w:val="both"/>
              <w:rPr>
                <w:rFonts w:ascii="Times New Roman" w:hAnsi="Times New Roman" w:cs="Times New Roman"/>
                <w:bCs/>
              </w:rPr>
            </w:pPr>
            <w:r w:rsidRPr="00702A1E">
              <w:rPr>
                <w:rFonts w:ascii="Times New Roman" w:hAnsi="Times New Roman" w:cs="Times New Roman"/>
                <w:bCs/>
              </w:rPr>
              <w:t>Iz županijskih sredstava financiraju se plaće medicinskih sestara u ambulanti, punktu pripravnosti u Muću i na Ultra</w:t>
            </w:r>
            <w:r w:rsidR="0074574F" w:rsidRPr="00702A1E">
              <w:rPr>
                <w:rFonts w:ascii="Times New Roman" w:hAnsi="Times New Roman" w:cs="Times New Roman"/>
                <w:bCs/>
              </w:rPr>
              <w:t xml:space="preserve"> Europa </w:t>
            </w:r>
            <w:r w:rsidRPr="00702A1E">
              <w:rPr>
                <w:rFonts w:ascii="Times New Roman" w:hAnsi="Times New Roman" w:cs="Times New Roman"/>
                <w:bCs/>
              </w:rPr>
              <w:t xml:space="preserve">festivalu, sufinanciraju se dodatni timovi u Makarskoj i Hvaru, rad na punktovima pripravnosti u </w:t>
            </w:r>
            <w:proofErr w:type="spellStart"/>
            <w:r w:rsidRPr="00702A1E">
              <w:rPr>
                <w:rFonts w:ascii="Times New Roman" w:hAnsi="Times New Roman" w:cs="Times New Roman"/>
                <w:bCs/>
              </w:rPr>
              <w:t>Vrlici</w:t>
            </w:r>
            <w:proofErr w:type="spellEnd"/>
            <w:r w:rsidRPr="00702A1E">
              <w:rPr>
                <w:rFonts w:ascii="Times New Roman" w:hAnsi="Times New Roman" w:cs="Times New Roman"/>
                <w:bCs/>
              </w:rPr>
              <w:t>, Šolti i Visu te zakup prostora u Splitu.</w:t>
            </w:r>
          </w:p>
          <w:p w14:paraId="64697772" w14:textId="77777777" w:rsidR="0074574F" w:rsidRPr="00702A1E" w:rsidRDefault="00091387" w:rsidP="00C97AA2">
            <w:pPr>
              <w:spacing w:line="240" w:lineRule="auto"/>
              <w:jc w:val="both"/>
              <w:rPr>
                <w:rFonts w:ascii="Times New Roman" w:hAnsi="Times New Roman" w:cs="Times New Roman"/>
              </w:rPr>
            </w:pPr>
            <w:r w:rsidRPr="00702A1E">
              <w:rPr>
                <w:rFonts w:ascii="Times New Roman" w:hAnsi="Times New Roman" w:cs="Times New Roman"/>
              </w:rPr>
              <w:t xml:space="preserve">Također, određene jedinice lokalne samouprave financiraju dodatne timove hitne medicine u </w:t>
            </w:r>
            <w:proofErr w:type="spellStart"/>
            <w:r w:rsidRPr="00702A1E">
              <w:rPr>
                <w:rFonts w:ascii="Times New Roman" w:hAnsi="Times New Roman" w:cs="Times New Roman"/>
              </w:rPr>
              <w:t>nadstandardu</w:t>
            </w:r>
            <w:proofErr w:type="spellEnd"/>
            <w:r w:rsidRPr="00702A1E">
              <w:rPr>
                <w:rFonts w:ascii="Times New Roman" w:hAnsi="Times New Roman" w:cs="Times New Roman"/>
              </w:rPr>
              <w:t xml:space="preserve"> (na Makarskom području i u Hvaru) jer žele pojačati zdravstvenu skrb na svom području.</w:t>
            </w:r>
          </w:p>
          <w:p w14:paraId="2D81CCBA" w14:textId="29C62C94" w:rsidR="00FA6BF1" w:rsidRPr="00702A1E" w:rsidRDefault="0074574F" w:rsidP="00C97AA2">
            <w:pPr>
              <w:spacing w:line="240" w:lineRule="auto"/>
              <w:jc w:val="both"/>
              <w:rPr>
                <w:rFonts w:ascii="Times New Roman" w:hAnsi="Times New Roman" w:cs="Times New Roman"/>
              </w:rPr>
            </w:pPr>
            <w:r w:rsidRPr="00702A1E">
              <w:rPr>
                <w:rFonts w:ascii="Times New Roman" w:hAnsi="Times New Roman" w:cs="Times New Roman"/>
              </w:rPr>
              <w:t>Temeljem odluk</w:t>
            </w:r>
            <w:r w:rsidR="007F782D" w:rsidRPr="00702A1E">
              <w:rPr>
                <w:rFonts w:ascii="Times New Roman" w:hAnsi="Times New Roman" w:cs="Times New Roman"/>
              </w:rPr>
              <w:t>e</w:t>
            </w:r>
            <w:r w:rsidRPr="00702A1E">
              <w:rPr>
                <w:rFonts w:ascii="Times New Roman" w:hAnsi="Times New Roman" w:cs="Times New Roman"/>
              </w:rPr>
              <w:t xml:space="preserve"> Vlade Republike Hrvatske </w:t>
            </w:r>
            <w:r w:rsidR="00FC34A2" w:rsidRPr="00702A1E">
              <w:rPr>
                <w:rFonts w:ascii="Times New Roman" w:hAnsi="Times New Roman" w:cs="Times New Roman"/>
              </w:rPr>
              <w:t xml:space="preserve">o isplati </w:t>
            </w:r>
            <w:r w:rsidR="00FC34A2" w:rsidRPr="00702A1E">
              <w:rPr>
                <w:rFonts w:ascii="Times New Roman" w:hAnsi="Times New Roman" w:cs="Times New Roman"/>
                <w:bCs/>
              </w:rPr>
              <w:t xml:space="preserve">razlike iznosa uvećanja plaće za prekovremeni rad (dodatci za posebne uvjete rada i za iznimnu odgovornost za život i zdravlje ljudi) (NN 101/2021), </w:t>
            </w:r>
            <w:r w:rsidR="007F782D" w:rsidRPr="00702A1E">
              <w:rPr>
                <w:rFonts w:ascii="Times New Roman" w:hAnsi="Times New Roman" w:cs="Times New Roman"/>
                <w:bCs/>
              </w:rPr>
              <w:t xml:space="preserve">odluke </w:t>
            </w:r>
            <w:r w:rsidR="00FC34A2" w:rsidRPr="00702A1E">
              <w:rPr>
                <w:rFonts w:ascii="Times New Roman" w:hAnsi="Times New Roman" w:cs="Times New Roman"/>
                <w:bCs/>
              </w:rPr>
              <w:t xml:space="preserve">o financiranju troškova po isplaćenim pravomoćnim sudskim presudama koje se odnose na sporove za isplatu razlike plaće zbog </w:t>
            </w:r>
            <w:proofErr w:type="spellStart"/>
            <w:r w:rsidR="00FC34A2" w:rsidRPr="00702A1E">
              <w:rPr>
                <w:rFonts w:ascii="Times New Roman" w:hAnsi="Times New Roman" w:cs="Times New Roman"/>
                <w:bCs/>
              </w:rPr>
              <w:t>neuvećanja</w:t>
            </w:r>
            <w:proofErr w:type="spellEnd"/>
            <w:r w:rsidR="00FC34A2" w:rsidRPr="00702A1E">
              <w:rPr>
                <w:rFonts w:ascii="Times New Roman" w:hAnsi="Times New Roman" w:cs="Times New Roman"/>
                <w:bCs/>
              </w:rPr>
              <w:t xml:space="preserve"> osnovice za 6 % u 2016.g. u javnim službama (NN 87/2023) te </w:t>
            </w:r>
            <w:r w:rsidR="007F782D" w:rsidRPr="00702A1E">
              <w:rPr>
                <w:rFonts w:ascii="Times New Roman" w:hAnsi="Times New Roman" w:cs="Times New Roman"/>
                <w:bCs/>
              </w:rPr>
              <w:t xml:space="preserve">odluke </w:t>
            </w:r>
            <w:r w:rsidR="00FC34A2" w:rsidRPr="00702A1E">
              <w:rPr>
                <w:rFonts w:ascii="Times New Roman" w:hAnsi="Times New Roman" w:cs="Times New Roman"/>
                <w:bCs/>
              </w:rPr>
              <w:t>o isplati privremenog dodatka na plaću državnim službenicima i namještenicima te službenicima u javnim službama (NN 65/2023), u okviru ove aktivnosti kao pomoć iz državnog proračuna osiguravaju se sredstva.</w:t>
            </w:r>
          </w:p>
          <w:p w14:paraId="6797CAD8" w14:textId="1420273C" w:rsidR="00FA6BF1" w:rsidRPr="00702A1E" w:rsidRDefault="00091387" w:rsidP="00C97AA2">
            <w:pPr>
              <w:spacing w:line="240" w:lineRule="auto"/>
              <w:jc w:val="both"/>
              <w:rPr>
                <w:rFonts w:ascii="Times New Roman" w:hAnsi="Times New Roman" w:cs="Times New Roman"/>
                <w:bCs/>
              </w:rPr>
            </w:pPr>
            <w:bookmarkStart w:id="0" w:name="__DdeLink__13_682213176"/>
            <w:r w:rsidRPr="00702A1E">
              <w:rPr>
                <w:rFonts w:ascii="Times New Roman" w:hAnsi="Times New Roman" w:cs="Times New Roman"/>
                <w:bCs/>
              </w:rPr>
              <w:t>Ova aktivnost obuhvaća 8</w:t>
            </w:r>
            <w:r w:rsidR="00DA425C" w:rsidRPr="00702A1E">
              <w:rPr>
                <w:rFonts w:ascii="Times New Roman" w:hAnsi="Times New Roman" w:cs="Times New Roman"/>
                <w:bCs/>
              </w:rPr>
              <w:t>0,9</w:t>
            </w:r>
            <w:r w:rsidR="00417843" w:rsidRPr="00702A1E">
              <w:rPr>
                <w:rFonts w:ascii="Times New Roman" w:hAnsi="Times New Roman" w:cs="Times New Roman"/>
                <w:bCs/>
              </w:rPr>
              <w:t xml:space="preserve"> </w:t>
            </w:r>
            <w:r w:rsidRPr="00702A1E">
              <w:rPr>
                <w:rFonts w:ascii="Times New Roman" w:hAnsi="Times New Roman" w:cs="Times New Roman"/>
                <w:bCs/>
              </w:rPr>
              <w:t>% ukupnog plana 202</w:t>
            </w:r>
            <w:r w:rsidR="00DA425C" w:rsidRPr="00702A1E">
              <w:rPr>
                <w:rFonts w:ascii="Times New Roman" w:hAnsi="Times New Roman" w:cs="Times New Roman"/>
                <w:bCs/>
              </w:rPr>
              <w:t>4</w:t>
            </w:r>
            <w:r w:rsidRPr="00702A1E">
              <w:rPr>
                <w:rFonts w:ascii="Times New Roman" w:hAnsi="Times New Roman" w:cs="Times New Roman"/>
                <w:bCs/>
              </w:rPr>
              <w:t>.g. i sastoji se od rashoda za zaposlene, materijalnih i financijskih rashoda poslovanja koji se financiraju iz</w:t>
            </w:r>
            <w:bookmarkEnd w:id="0"/>
            <w:r w:rsidRPr="00702A1E">
              <w:rPr>
                <w:rFonts w:ascii="Times New Roman" w:hAnsi="Times New Roman" w:cs="Times New Roman"/>
                <w:bCs/>
              </w:rPr>
              <w:t xml:space="preserve"> slijedećih izvora:</w:t>
            </w:r>
          </w:p>
          <w:p w14:paraId="454DA10D" w14:textId="0C63E0EF" w:rsidR="00FA6BF1" w:rsidRPr="00702A1E" w:rsidRDefault="00091387" w:rsidP="00C97AA2">
            <w:pPr>
              <w:numPr>
                <w:ilvl w:val="0"/>
                <w:numId w:val="11"/>
              </w:numPr>
              <w:suppressAutoHyphens w:val="0"/>
              <w:spacing w:line="240" w:lineRule="auto"/>
              <w:jc w:val="both"/>
              <w:rPr>
                <w:rFonts w:ascii="Times New Roman" w:hAnsi="Times New Roman" w:cs="Times New Roman"/>
              </w:rPr>
            </w:pPr>
            <w:r w:rsidRPr="00702A1E">
              <w:rPr>
                <w:rFonts w:ascii="Times New Roman" w:hAnsi="Times New Roman" w:cs="Times New Roman"/>
                <w:bCs/>
              </w:rPr>
              <w:t xml:space="preserve">matičnih sredstva Županije u iznosu od </w:t>
            </w:r>
            <w:r w:rsidR="00DA425C" w:rsidRPr="00702A1E">
              <w:rPr>
                <w:rFonts w:ascii="Times New Roman" w:hAnsi="Times New Roman" w:cs="Times New Roman"/>
                <w:bCs/>
              </w:rPr>
              <w:t xml:space="preserve">1.060.000,00 </w:t>
            </w:r>
            <w:r w:rsidRPr="00702A1E">
              <w:rPr>
                <w:rFonts w:ascii="Times New Roman" w:hAnsi="Times New Roman" w:cs="Times New Roman"/>
                <w:bCs/>
                <w:color w:val="000000"/>
              </w:rPr>
              <w:t>€</w:t>
            </w:r>
            <w:r w:rsidRPr="00702A1E">
              <w:rPr>
                <w:rFonts w:ascii="Times New Roman" w:hAnsi="Times New Roman" w:cs="Times New Roman"/>
                <w:bCs/>
              </w:rPr>
              <w:t xml:space="preserve">  u 202</w:t>
            </w:r>
            <w:r w:rsidR="00DA425C" w:rsidRPr="00702A1E">
              <w:rPr>
                <w:rFonts w:ascii="Times New Roman" w:hAnsi="Times New Roman" w:cs="Times New Roman"/>
                <w:bCs/>
              </w:rPr>
              <w:t>4</w:t>
            </w:r>
            <w:r w:rsidRPr="00702A1E">
              <w:rPr>
                <w:rFonts w:ascii="Times New Roman" w:hAnsi="Times New Roman" w:cs="Times New Roman"/>
                <w:bCs/>
              </w:rPr>
              <w:t xml:space="preserve">.g., </w:t>
            </w:r>
            <w:r w:rsidR="00DA425C" w:rsidRPr="00702A1E">
              <w:rPr>
                <w:rFonts w:ascii="Times New Roman" w:hAnsi="Times New Roman" w:cs="Times New Roman"/>
                <w:bCs/>
              </w:rPr>
              <w:t xml:space="preserve">1.114.000,00 € u </w:t>
            </w:r>
            <w:r w:rsidRPr="00702A1E">
              <w:rPr>
                <w:rFonts w:ascii="Times New Roman" w:hAnsi="Times New Roman" w:cs="Times New Roman"/>
                <w:bCs/>
              </w:rPr>
              <w:t>202</w:t>
            </w:r>
            <w:r w:rsidR="00DA425C" w:rsidRPr="00702A1E">
              <w:rPr>
                <w:rFonts w:ascii="Times New Roman" w:hAnsi="Times New Roman" w:cs="Times New Roman"/>
                <w:bCs/>
              </w:rPr>
              <w:t>5</w:t>
            </w:r>
            <w:r w:rsidRPr="00702A1E">
              <w:rPr>
                <w:rFonts w:ascii="Times New Roman" w:hAnsi="Times New Roman" w:cs="Times New Roman"/>
                <w:bCs/>
              </w:rPr>
              <w:t xml:space="preserve">.g. i </w:t>
            </w:r>
            <w:r w:rsidR="00DA425C" w:rsidRPr="00702A1E">
              <w:rPr>
                <w:rFonts w:ascii="Times New Roman" w:hAnsi="Times New Roman" w:cs="Times New Roman"/>
                <w:bCs/>
              </w:rPr>
              <w:t xml:space="preserve">1.150.102,11 € u </w:t>
            </w:r>
            <w:r w:rsidRPr="00702A1E">
              <w:rPr>
                <w:rFonts w:ascii="Times New Roman" w:hAnsi="Times New Roman" w:cs="Times New Roman"/>
                <w:bCs/>
              </w:rPr>
              <w:t>202</w:t>
            </w:r>
            <w:r w:rsidR="00DA425C" w:rsidRPr="00702A1E">
              <w:rPr>
                <w:rFonts w:ascii="Times New Roman" w:hAnsi="Times New Roman" w:cs="Times New Roman"/>
                <w:bCs/>
              </w:rPr>
              <w:t>6</w:t>
            </w:r>
            <w:r w:rsidRPr="00702A1E">
              <w:rPr>
                <w:rFonts w:ascii="Times New Roman" w:hAnsi="Times New Roman" w:cs="Times New Roman"/>
                <w:bCs/>
              </w:rPr>
              <w:t>.g.</w:t>
            </w:r>
            <w:r w:rsidRPr="00702A1E">
              <w:rPr>
                <w:rFonts w:ascii="Times New Roman" w:hAnsi="Times New Roman" w:cs="Times New Roman"/>
              </w:rPr>
              <w:t>,</w:t>
            </w:r>
          </w:p>
          <w:p w14:paraId="4E284EBB" w14:textId="1775C563" w:rsidR="00FA6BF1" w:rsidRPr="00702A1E" w:rsidRDefault="00091387" w:rsidP="00C97AA2">
            <w:pPr>
              <w:numPr>
                <w:ilvl w:val="0"/>
                <w:numId w:val="11"/>
              </w:numPr>
              <w:suppressAutoHyphens w:val="0"/>
              <w:spacing w:line="240" w:lineRule="auto"/>
              <w:jc w:val="both"/>
              <w:rPr>
                <w:rFonts w:ascii="Times New Roman" w:hAnsi="Times New Roman" w:cs="Times New Roman"/>
              </w:rPr>
            </w:pPr>
            <w:r w:rsidRPr="00702A1E">
              <w:rPr>
                <w:rFonts w:ascii="Times New Roman" w:hAnsi="Times New Roman" w:cs="Times New Roman"/>
                <w:bCs/>
              </w:rPr>
              <w:t xml:space="preserve">vlastitih prihoda </w:t>
            </w:r>
            <w:r w:rsidR="007F782D" w:rsidRPr="00702A1E">
              <w:rPr>
                <w:rFonts w:ascii="Times New Roman" w:hAnsi="Times New Roman" w:cs="Times New Roman"/>
                <w:bCs/>
              </w:rPr>
              <w:t>Zavoda</w:t>
            </w:r>
            <w:r w:rsidRPr="00702A1E">
              <w:rPr>
                <w:rFonts w:ascii="Times New Roman" w:hAnsi="Times New Roman" w:cs="Times New Roman"/>
                <w:bCs/>
              </w:rPr>
              <w:t xml:space="preserve"> u iznosu od </w:t>
            </w:r>
            <w:r w:rsidR="00DA425C" w:rsidRPr="00702A1E">
              <w:rPr>
                <w:rFonts w:ascii="Times New Roman" w:hAnsi="Times New Roman" w:cs="Times New Roman"/>
                <w:bCs/>
              </w:rPr>
              <w:t xml:space="preserve">104.463,52 </w:t>
            </w:r>
            <w:r w:rsidRPr="00702A1E">
              <w:rPr>
                <w:rFonts w:ascii="Times New Roman" w:hAnsi="Times New Roman" w:cs="Times New Roman"/>
                <w:bCs/>
                <w:color w:val="000000"/>
              </w:rPr>
              <w:t>€ u 202</w:t>
            </w:r>
            <w:r w:rsidR="00DA425C" w:rsidRPr="00702A1E">
              <w:rPr>
                <w:rFonts w:ascii="Times New Roman" w:hAnsi="Times New Roman" w:cs="Times New Roman"/>
                <w:bCs/>
                <w:color w:val="000000"/>
              </w:rPr>
              <w:t>4</w:t>
            </w:r>
            <w:r w:rsidRPr="00702A1E">
              <w:rPr>
                <w:rFonts w:ascii="Times New Roman" w:hAnsi="Times New Roman" w:cs="Times New Roman"/>
                <w:bCs/>
                <w:color w:val="000000"/>
              </w:rPr>
              <w:t>.g.</w:t>
            </w:r>
            <w:r w:rsidRPr="00702A1E">
              <w:rPr>
                <w:rFonts w:ascii="Times New Roman" w:hAnsi="Times New Roman" w:cs="Times New Roman"/>
                <w:bCs/>
              </w:rPr>
              <w:t xml:space="preserve">, </w:t>
            </w:r>
            <w:r w:rsidR="00DA425C" w:rsidRPr="00702A1E">
              <w:rPr>
                <w:rFonts w:ascii="Times New Roman" w:hAnsi="Times New Roman" w:cs="Times New Roman"/>
                <w:bCs/>
              </w:rPr>
              <w:t>109.000,00</w:t>
            </w:r>
            <w:r w:rsidRPr="00702A1E">
              <w:rPr>
                <w:rFonts w:ascii="Times New Roman" w:hAnsi="Times New Roman" w:cs="Times New Roman"/>
                <w:bCs/>
              </w:rPr>
              <w:t xml:space="preserve"> </w:t>
            </w:r>
            <w:r w:rsidRPr="00702A1E">
              <w:rPr>
                <w:rFonts w:ascii="Times New Roman" w:hAnsi="Times New Roman" w:cs="Times New Roman"/>
                <w:bCs/>
                <w:color w:val="000000"/>
                <w:kern w:val="0"/>
              </w:rPr>
              <w:t>€ u 202</w:t>
            </w:r>
            <w:r w:rsidR="00DA425C" w:rsidRPr="00702A1E">
              <w:rPr>
                <w:rFonts w:ascii="Times New Roman" w:hAnsi="Times New Roman" w:cs="Times New Roman"/>
                <w:bCs/>
                <w:color w:val="000000"/>
                <w:kern w:val="0"/>
              </w:rPr>
              <w:t>5</w:t>
            </w:r>
            <w:r w:rsidRPr="00702A1E">
              <w:rPr>
                <w:rFonts w:ascii="Times New Roman" w:hAnsi="Times New Roman" w:cs="Times New Roman"/>
                <w:bCs/>
                <w:color w:val="000000"/>
                <w:kern w:val="0"/>
              </w:rPr>
              <w:t xml:space="preserve">.g. i </w:t>
            </w:r>
            <w:r w:rsidR="00DA425C" w:rsidRPr="00702A1E">
              <w:rPr>
                <w:rFonts w:ascii="Times New Roman" w:hAnsi="Times New Roman" w:cs="Times New Roman"/>
                <w:bCs/>
                <w:color w:val="000000"/>
                <w:kern w:val="0"/>
              </w:rPr>
              <w:t>113.600,00</w:t>
            </w:r>
            <w:r w:rsidRPr="00702A1E">
              <w:rPr>
                <w:rFonts w:ascii="Times New Roman" w:hAnsi="Times New Roman" w:cs="Times New Roman"/>
                <w:bCs/>
                <w:color w:val="000000"/>
                <w:kern w:val="0"/>
              </w:rPr>
              <w:t xml:space="preserve"> € u 202</w:t>
            </w:r>
            <w:r w:rsidR="00DA425C" w:rsidRPr="00702A1E">
              <w:rPr>
                <w:rFonts w:ascii="Times New Roman" w:hAnsi="Times New Roman" w:cs="Times New Roman"/>
                <w:bCs/>
                <w:color w:val="000000"/>
                <w:kern w:val="0"/>
              </w:rPr>
              <w:t>6</w:t>
            </w:r>
            <w:r w:rsidRPr="00702A1E">
              <w:rPr>
                <w:rFonts w:ascii="Times New Roman" w:hAnsi="Times New Roman" w:cs="Times New Roman"/>
                <w:bCs/>
                <w:color w:val="000000"/>
                <w:kern w:val="0"/>
              </w:rPr>
              <w:t>.g.</w:t>
            </w:r>
            <w:r w:rsidRPr="00702A1E">
              <w:rPr>
                <w:rFonts w:ascii="Times New Roman" w:hAnsi="Times New Roman" w:cs="Times New Roman"/>
                <w:bCs/>
              </w:rPr>
              <w:t>,</w:t>
            </w:r>
          </w:p>
          <w:p w14:paraId="7B61420F" w14:textId="3113526C" w:rsidR="00FA6BF1" w:rsidRPr="00702A1E" w:rsidRDefault="00091387" w:rsidP="00C97AA2">
            <w:pPr>
              <w:numPr>
                <w:ilvl w:val="0"/>
                <w:numId w:val="11"/>
              </w:numPr>
              <w:suppressAutoHyphens w:val="0"/>
              <w:spacing w:line="240" w:lineRule="auto"/>
              <w:jc w:val="both"/>
              <w:rPr>
                <w:rFonts w:ascii="Times New Roman" w:hAnsi="Times New Roman" w:cs="Times New Roman"/>
              </w:rPr>
            </w:pPr>
            <w:r w:rsidRPr="00702A1E">
              <w:rPr>
                <w:rFonts w:ascii="Times New Roman" w:hAnsi="Times New Roman" w:cs="Times New Roman"/>
                <w:bCs/>
              </w:rPr>
              <w:t xml:space="preserve">prihoda za posebne namjene proračunskog korisnika (HZZO) u iznosu od </w:t>
            </w:r>
            <w:r w:rsidR="00DA425C" w:rsidRPr="00702A1E">
              <w:rPr>
                <w:rFonts w:ascii="Times New Roman" w:hAnsi="Times New Roman" w:cs="Times New Roman"/>
                <w:bCs/>
              </w:rPr>
              <w:t>17.801.636,48</w:t>
            </w:r>
            <w:r w:rsidRPr="00702A1E">
              <w:rPr>
                <w:rFonts w:ascii="Times New Roman" w:hAnsi="Times New Roman" w:cs="Times New Roman"/>
                <w:bCs/>
              </w:rPr>
              <w:t xml:space="preserve"> </w:t>
            </w:r>
            <w:r w:rsidRPr="00702A1E">
              <w:rPr>
                <w:rFonts w:ascii="Times New Roman" w:hAnsi="Times New Roman" w:cs="Times New Roman"/>
                <w:bCs/>
                <w:color w:val="000000"/>
                <w:kern w:val="0"/>
              </w:rPr>
              <w:t xml:space="preserve">€ </w:t>
            </w:r>
            <w:r w:rsidRPr="00702A1E">
              <w:rPr>
                <w:rFonts w:ascii="Times New Roman" w:hAnsi="Times New Roman" w:cs="Times New Roman"/>
                <w:bCs/>
              </w:rPr>
              <w:t>u 202</w:t>
            </w:r>
            <w:r w:rsidR="00DA425C" w:rsidRPr="00702A1E">
              <w:rPr>
                <w:rFonts w:ascii="Times New Roman" w:hAnsi="Times New Roman" w:cs="Times New Roman"/>
                <w:bCs/>
              </w:rPr>
              <w:t>4</w:t>
            </w:r>
            <w:r w:rsidRPr="00702A1E">
              <w:rPr>
                <w:rFonts w:ascii="Times New Roman" w:hAnsi="Times New Roman" w:cs="Times New Roman"/>
                <w:bCs/>
              </w:rPr>
              <w:t xml:space="preserve">.g., </w:t>
            </w:r>
            <w:r w:rsidR="00DA425C" w:rsidRPr="00702A1E">
              <w:rPr>
                <w:rFonts w:ascii="Times New Roman" w:hAnsi="Times New Roman" w:cs="Times New Roman"/>
                <w:bCs/>
              </w:rPr>
              <w:t>18.503.700,00</w:t>
            </w:r>
            <w:r w:rsidRPr="00702A1E">
              <w:rPr>
                <w:rFonts w:ascii="Times New Roman" w:hAnsi="Times New Roman" w:cs="Times New Roman"/>
                <w:bCs/>
              </w:rPr>
              <w:t xml:space="preserve"> </w:t>
            </w:r>
            <w:r w:rsidRPr="00702A1E">
              <w:rPr>
                <w:rFonts w:ascii="Times New Roman" w:hAnsi="Times New Roman" w:cs="Times New Roman"/>
                <w:bCs/>
                <w:color w:val="000000"/>
                <w:kern w:val="0"/>
              </w:rPr>
              <w:t>€</w:t>
            </w:r>
            <w:r w:rsidRPr="00702A1E">
              <w:rPr>
                <w:rFonts w:ascii="Times New Roman" w:hAnsi="Times New Roman" w:cs="Times New Roman"/>
                <w:bCs/>
              </w:rPr>
              <w:t xml:space="preserve"> u 202</w:t>
            </w:r>
            <w:r w:rsidR="00DA425C" w:rsidRPr="00702A1E">
              <w:rPr>
                <w:rFonts w:ascii="Times New Roman" w:hAnsi="Times New Roman" w:cs="Times New Roman"/>
                <w:bCs/>
              </w:rPr>
              <w:t>5</w:t>
            </w:r>
            <w:r w:rsidRPr="00702A1E">
              <w:rPr>
                <w:rFonts w:ascii="Times New Roman" w:hAnsi="Times New Roman" w:cs="Times New Roman"/>
                <w:bCs/>
              </w:rPr>
              <w:t>.g. te 1</w:t>
            </w:r>
            <w:r w:rsidR="00DA425C" w:rsidRPr="00702A1E">
              <w:rPr>
                <w:rFonts w:ascii="Times New Roman" w:hAnsi="Times New Roman" w:cs="Times New Roman"/>
                <w:bCs/>
              </w:rPr>
              <w:t>8.638.497,89</w:t>
            </w:r>
            <w:r w:rsidRPr="00702A1E">
              <w:rPr>
                <w:rFonts w:ascii="Times New Roman" w:hAnsi="Times New Roman" w:cs="Times New Roman"/>
                <w:bCs/>
              </w:rPr>
              <w:t xml:space="preserve"> </w:t>
            </w:r>
            <w:r w:rsidRPr="00702A1E">
              <w:rPr>
                <w:rFonts w:ascii="Times New Roman" w:hAnsi="Times New Roman" w:cs="Times New Roman"/>
                <w:bCs/>
                <w:color w:val="000000"/>
                <w:kern w:val="0"/>
              </w:rPr>
              <w:t>€ u 202</w:t>
            </w:r>
            <w:r w:rsidR="00DA425C" w:rsidRPr="00702A1E">
              <w:rPr>
                <w:rFonts w:ascii="Times New Roman" w:hAnsi="Times New Roman" w:cs="Times New Roman"/>
                <w:bCs/>
                <w:color w:val="000000"/>
                <w:kern w:val="0"/>
              </w:rPr>
              <w:t>6</w:t>
            </w:r>
            <w:r w:rsidRPr="00702A1E">
              <w:rPr>
                <w:rFonts w:ascii="Times New Roman" w:hAnsi="Times New Roman" w:cs="Times New Roman"/>
                <w:bCs/>
                <w:color w:val="000000"/>
                <w:kern w:val="0"/>
              </w:rPr>
              <w:t>.g.</w:t>
            </w:r>
            <w:r w:rsidRPr="00702A1E">
              <w:rPr>
                <w:rFonts w:ascii="Times New Roman" w:hAnsi="Times New Roman" w:cs="Times New Roman"/>
                <w:bCs/>
              </w:rPr>
              <w:t xml:space="preserve">, </w:t>
            </w:r>
          </w:p>
          <w:p w14:paraId="5D302964" w14:textId="0769EC4B" w:rsidR="00FA6BF1" w:rsidRPr="00702A1E" w:rsidRDefault="00091387" w:rsidP="00C97AA2">
            <w:pPr>
              <w:pStyle w:val="Odlomakpopisa"/>
              <w:numPr>
                <w:ilvl w:val="0"/>
                <w:numId w:val="11"/>
              </w:numPr>
              <w:snapToGrid w:val="0"/>
              <w:spacing w:line="240" w:lineRule="auto"/>
              <w:jc w:val="both"/>
              <w:rPr>
                <w:rFonts w:ascii="Times New Roman" w:hAnsi="Times New Roman" w:cs="Times New Roman"/>
              </w:rPr>
            </w:pPr>
            <w:r w:rsidRPr="00702A1E">
              <w:rPr>
                <w:rFonts w:ascii="Times New Roman" w:hAnsi="Times New Roman" w:cs="Times New Roman"/>
                <w:bCs/>
              </w:rPr>
              <w:t xml:space="preserve">pomoći proračunskim korisnicima iz proračuna koji im nije nadležan u iznosu od </w:t>
            </w:r>
            <w:r w:rsidR="00DA425C" w:rsidRPr="00702A1E">
              <w:rPr>
                <w:rFonts w:ascii="Times New Roman" w:hAnsi="Times New Roman" w:cs="Times New Roman"/>
                <w:bCs/>
              </w:rPr>
              <w:t>1.103.500,00</w:t>
            </w:r>
            <w:r w:rsidRPr="00702A1E">
              <w:rPr>
                <w:rFonts w:ascii="Times New Roman" w:hAnsi="Times New Roman" w:cs="Times New Roman"/>
                <w:bCs/>
              </w:rPr>
              <w:t xml:space="preserve"> </w:t>
            </w:r>
            <w:r w:rsidRPr="00702A1E">
              <w:rPr>
                <w:rFonts w:ascii="Times New Roman" w:hAnsi="Times New Roman" w:cs="Times New Roman"/>
                <w:bCs/>
                <w:color w:val="000000"/>
                <w:kern w:val="0"/>
              </w:rPr>
              <w:t>€ u 202</w:t>
            </w:r>
            <w:r w:rsidR="00DA425C" w:rsidRPr="00702A1E">
              <w:rPr>
                <w:rFonts w:ascii="Times New Roman" w:hAnsi="Times New Roman" w:cs="Times New Roman"/>
                <w:bCs/>
                <w:color w:val="000000"/>
                <w:kern w:val="0"/>
              </w:rPr>
              <w:t>4</w:t>
            </w:r>
            <w:r w:rsidRPr="00702A1E">
              <w:rPr>
                <w:rFonts w:ascii="Times New Roman" w:hAnsi="Times New Roman" w:cs="Times New Roman"/>
                <w:bCs/>
                <w:color w:val="000000"/>
                <w:kern w:val="0"/>
              </w:rPr>
              <w:t>.g.</w:t>
            </w:r>
            <w:r w:rsidRPr="00702A1E">
              <w:rPr>
                <w:rFonts w:ascii="Times New Roman" w:hAnsi="Times New Roman" w:cs="Times New Roman"/>
                <w:bCs/>
              </w:rPr>
              <w:t xml:space="preserve">, u iznosu od </w:t>
            </w:r>
            <w:r w:rsidR="00DA425C" w:rsidRPr="00702A1E">
              <w:rPr>
                <w:rFonts w:ascii="Times New Roman" w:hAnsi="Times New Roman" w:cs="Times New Roman"/>
                <w:bCs/>
              </w:rPr>
              <w:t>252.800,00</w:t>
            </w:r>
            <w:r w:rsidRPr="00702A1E">
              <w:rPr>
                <w:rFonts w:ascii="Times New Roman" w:hAnsi="Times New Roman" w:cs="Times New Roman"/>
                <w:bCs/>
              </w:rPr>
              <w:t xml:space="preserve"> </w:t>
            </w:r>
            <w:r w:rsidRPr="00702A1E">
              <w:rPr>
                <w:rFonts w:ascii="Times New Roman" w:hAnsi="Times New Roman" w:cs="Times New Roman"/>
                <w:bCs/>
                <w:color w:val="000000"/>
                <w:kern w:val="0"/>
              </w:rPr>
              <w:t>€ u 202</w:t>
            </w:r>
            <w:r w:rsidR="00DA425C" w:rsidRPr="00702A1E">
              <w:rPr>
                <w:rFonts w:ascii="Times New Roman" w:hAnsi="Times New Roman" w:cs="Times New Roman"/>
                <w:bCs/>
                <w:color w:val="000000"/>
                <w:kern w:val="0"/>
              </w:rPr>
              <w:t>5</w:t>
            </w:r>
            <w:r w:rsidRPr="00702A1E">
              <w:rPr>
                <w:rFonts w:ascii="Times New Roman" w:hAnsi="Times New Roman" w:cs="Times New Roman"/>
                <w:bCs/>
                <w:color w:val="000000"/>
                <w:kern w:val="0"/>
              </w:rPr>
              <w:t>.g. i 2</w:t>
            </w:r>
            <w:r w:rsidR="00DA425C" w:rsidRPr="00702A1E">
              <w:rPr>
                <w:rFonts w:ascii="Times New Roman" w:hAnsi="Times New Roman" w:cs="Times New Roman"/>
                <w:bCs/>
                <w:color w:val="000000"/>
                <w:kern w:val="0"/>
              </w:rPr>
              <w:t>66.500,00</w:t>
            </w:r>
            <w:r w:rsidRPr="00702A1E">
              <w:rPr>
                <w:rFonts w:ascii="Times New Roman" w:hAnsi="Times New Roman" w:cs="Times New Roman"/>
                <w:bCs/>
                <w:color w:val="000000"/>
                <w:kern w:val="0"/>
              </w:rPr>
              <w:t xml:space="preserve"> € u 202</w:t>
            </w:r>
            <w:r w:rsidR="00DA425C" w:rsidRPr="00702A1E">
              <w:rPr>
                <w:rFonts w:ascii="Times New Roman" w:hAnsi="Times New Roman" w:cs="Times New Roman"/>
                <w:bCs/>
                <w:color w:val="000000"/>
                <w:kern w:val="0"/>
              </w:rPr>
              <w:t>6</w:t>
            </w:r>
            <w:r w:rsidRPr="00702A1E">
              <w:rPr>
                <w:rFonts w:ascii="Times New Roman" w:hAnsi="Times New Roman" w:cs="Times New Roman"/>
                <w:bCs/>
                <w:color w:val="000000"/>
                <w:kern w:val="0"/>
              </w:rPr>
              <w:t>.g. U 202</w:t>
            </w:r>
            <w:r w:rsidR="00DA425C" w:rsidRPr="00702A1E">
              <w:rPr>
                <w:rFonts w:ascii="Times New Roman" w:hAnsi="Times New Roman" w:cs="Times New Roman"/>
                <w:bCs/>
                <w:color w:val="000000"/>
                <w:kern w:val="0"/>
              </w:rPr>
              <w:t>4</w:t>
            </w:r>
            <w:r w:rsidRPr="00702A1E">
              <w:rPr>
                <w:rFonts w:ascii="Times New Roman" w:hAnsi="Times New Roman" w:cs="Times New Roman"/>
                <w:bCs/>
                <w:color w:val="000000"/>
                <w:kern w:val="0"/>
              </w:rPr>
              <w:t xml:space="preserve">.g. se očekuje </w:t>
            </w:r>
            <w:r w:rsidR="00DA425C" w:rsidRPr="00702A1E">
              <w:rPr>
                <w:rFonts w:ascii="Times New Roman" w:hAnsi="Times New Roman" w:cs="Times New Roman"/>
                <w:bCs/>
                <w:color w:val="000000"/>
                <w:kern w:val="0"/>
              </w:rPr>
              <w:t>donošenje nov</w:t>
            </w:r>
            <w:r w:rsidR="001E49B4" w:rsidRPr="00702A1E">
              <w:rPr>
                <w:rFonts w:ascii="Times New Roman" w:hAnsi="Times New Roman" w:cs="Times New Roman"/>
                <w:bCs/>
                <w:color w:val="000000"/>
                <w:kern w:val="0"/>
              </w:rPr>
              <w:t>og</w:t>
            </w:r>
            <w:r w:rsidR="00DA425C" w:rsidRPr="00702A1E">
              <w:rPr>
                <w:rFonts w:ascii="Times New Roman" w:hAnsi="Times New Roman" w:cs="Times New Roman"/>
                <w:bCs/>
                <w:color w:val="000000"/>
                <w:kern w:val="0"/>
              </w:rPr>
              <w:t xml:space="preserve"> </w:t>
            </w:r>
            <w:r w:rsidR="001E49B4" w:rsidRPr="00702A1E">
              <w:rPr>
                <w:rFonts w:ascii="Times New Roman" w:hAnsi="Times New Roman" w:cs="Times New Roman"/>
                <w:bCs/>
                <w:color w:val="000000"/>
                <w:kern w:val="0"/>
              </w:rPr>
              <w:t xml:space="preserve">zakona </w:t>
            </w:r>
            <w:r w:rsidR="00DA425C" w:rsidRPr="00702A1E">
              <w:rPr>
                <w:rFonts w:ascii="Times New Roman" w:hAnsi="Times New Roman" w:cs="Times New Roman"/>
                <w:bCs/>
                <w:color w:val="000000"/>
                <w:kern w:val="0"/>
              </w:rPr>
              <w:t>o plaćama koja će obuhvatiti priv</w:t>
            </w:r>
            <w:r w:rsidR="00246283" w:rsidRPr="00702A1E">
              <w:rPr>
                <w:rFonts w:ascii="Times New Roman" w:hAnsi="Times New Roman" w:cs="Times New Roman"/>
                <w:bCs/>
                <w:color w:val="000000"/>
                <w:kern w:val="0"/>
              </w:rPr>
              <w:t>remeni</w:t>
            </w:r>
            <w:r w:rsidR="00DA425C" w:rsidRPr="00702A1E">
              <w:rPr>
                <w:rFonts w:ascii="Times New Roman" w:hAnsi="Times New Roman" w:cs="Times New Roman"/>
                <w:bCs/>
                <w:color w:val="000000"/>
                <w:kern w:val="0"/>
              </w:rPr>
              <w:t xml:space="preserve"> dodatak te </w:t>
            </w:r>
            <w:r w:rsidR="00C224E8" w:rsidRPr="00702A1E">
              <w:rPr>
                <w:rFonts w:ascii="Times New Roman" w:hAnsi="Times New Roman" w:cs="Times New Roman"/>
                <w:bCs/>
                <w:color w:val="000000"/>
                <w:kern w:val="0"/>
              </w:rPr>
              <w:t xml:space="preserve">stoga </w:t>
            </w:r>
            <w:r w:rsidR="00DA425C" w:rsidRPr="00702A1E">
              <w:rPr>
                <w:rFonts w:ascii="Times New Roman" w:hAnsi="Times New Roman" w:cs="Times New Roman"/>
                <w:bCs/>
                <w:color w:val="000000"/>
                <w:kern w:val="0"/>
              </w:rPr>
              <w:t xml:space="preserve">u 2025.g. i 2026.g. privremeni dodatak </w:t>
            </w:r>
            <w:r w:rsidR="001E49B4" w:rsidRPr="00702A1E">
              <w:rPr>
                <w:rFonts w:ascii="Times New Roman" w:hAnsi="Times New Roman" w:cs="Times New Roman"/>
                <w:bCs/>
                <w:color w:val="000000"/>
                <w:kern w:val="0"/>
              </w:rPr>
              <w:t xml:space="preserve">neće biti financiran </w:t>
            </w:r>
            <w:r w:rsidR="00DA425C" w:rsidRPr="00702A1E">
              <w:rPr>
                <w:rFonts w:ascii="Times New Roman" w:hAnsi="Times New Roman" w:cs="Times New Roman"/>
                <w:bCs/>
                <w:color w:val="000000"/>
                <w:kern w:val="0"/>
              </w:rPr>
              <w:t>iz izvora pomoći.</w:t>
            </w:r>
          </w:p>
        </w:tc>
      </w:tr>
      <w:tr w:rsidR="00FA6BF1" w:rsidRPr="00702A1E" w14:paraId="3858FDDA" w14:textId="77777777" w:rsidTr="00702A1E">
        <w:trPr>
          <w:trHeight w:val="25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311976" w14:textId="4FF38598" w:rsidR="00FA6BF1" w:rsidRPr="00702A1E" w:rsidRDefault="00091387">
            <w:pPr>
              <w:pStyle w:val="Standard"/>
              <w:rPr>
                <w:sz w:val="22"/>
                <w:szCs w:val="22"/>
              </w:rPr>
            </w:pPr>
            <w:r w:rsidRPr="00702A1E">
              <w:rPr>
                <w:b/>
                <w:bCs/>
                <w:color w:val="000000"/>
                <w:sz w:val="22"/>
                <w:szCs w:val="22"/>
              </w:rPr>
              <w:lastRenderedPageBreak/>
              <w:t>Obrazloženje izračuna financijskih sredstava:</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AAABA5" w14:textId="09DCD157" w:rsidR="00FA6BF1" w:rsidRPr="00702A1E" w:rsidRDefault="000621DA" w:rsidP="00C97AA2">
            <w:pPr>
              <w:spacing w:line="240" w:lineRule="auto"/>
              <w:jc w:val="both"/>
              <w:rPr>
                <w:rFonts w:ascii="Times New Roman" w:hAnsi="Times New Roman" w:cs="Times New Roman"/>
                <w:iCs/>
                <w:color w:val="FF0000"/>
              </w:rPr>
            </w:pPr>
            <w:r w:rsidRPr="00702A1E">
              <w:rPr>
                <w:rFonts w:ascii="Times New Roman" w:hAnsi="Times New Roman" w:cs="Times New Roman"/>
                <w:iCs/>
              </w:rPr>
              <w:t>Prihodi aktivnosti Rashodi djelatnosti za 2024.g. planiraju se u iznosu od 1.060.000,00 eura</w:t>
            </w:r>
            <w:r w:rsidR="005D263F" w:rsidRPr="00702A1E">
              <w:rPr>
                <w:rFonts w:ascii="Times New Roman" w:hAnsi="Times New Roman" w:cs="Times New Roman"/>
                <w:iCs/>
              </w:rPr>
              <w:t xml:space="preserve"> (</w:t>
            </w:r>
            <w:r w:rsidR="00CD0DE9" w:rsidRPr="00702A1E">
              <w:rPr>
                <w:rFonts w:ascii="Times New Roman" w:hAnsi="Times New Roman" w:cs="Times New Roman"/>
                <w:iCs/>
              </w:rPr>
              <w:t>4,3</w:t>
            </w:r>
            <w:r w:rsidR="005D263F" w:rsidRPr="00702A1E">
              <w:rPr>
                <w:rFonts w:ascii="Times New Roman" w:hAnsi="Times New Roman" w:cs="Times New Roman"/>
                <w:iCs/>
              </w:rPr>
              <w:t xml:space="preserve"> % od ukupnog plana za 2024.g.) </w:t>
            </w:r>
            <w:r w:rsidRPr="00702A1E">
              <w:rPr>
                <w:rFonts w:ascii="Times New Roman" w:hAnsi="Times New Roman" w:cs="Times New Roman"/>
                <w:iCs/>
              </w:rPr>
              <w:t>iz proračuna SDŽ za financiranje rada dodatnih timova</w:t>
            </w:r>
            <w:r w:rsidR="009C3736" w:rsidRPr="00702A1E">
              <w:rPr>
                <w:rFonts w:ascii="Times New Roman" w:hAnsi="Times New Roman" w:cs="Times New Roman"/>
                <w:iCs/>
              </w:rPr>
              <w:t xml:space="preserve"> (</w:t>
            </w:r>
            <w:proofErr w:type="spellStart"/>
            <w:r w:rsidR="009C3736" w:rsidRPr="00702A1E">
              <w:rPr>
                <w:rFonts w:ascii="Times New Roman" w:hAnsi="Times New Roman" w:cs="Times New Roman"/>
                <w:iCs/>
              </w:rPr>
              <w:t>nadstandard</w:t>
            </w:r>
            <w:proofErr w:type="spellEnd"/>
            <w:r w:rsidR="009C3736" w:rsidRPr="00702A1E">
              <w:rPr>
                <w:rFonts w:ascii="Times New Roman" w:hAnsi="Times New Roman" w:cs="Times New Roman"/>
                <w:iCs/>
              </w:rPr>
              <w:t>)</w:t>
            </w:r>
            <w:r w:rsidRPr="00702A1E">
              <w:rPr>
                <w:rFonts w:ascii="Times New Roman" w:hAnsi="Times New Roman" w:cs="Times New Roman"/>
                <w:iCs/>
              </w:rPr>
              <w:t>, 104.463,52 eura</w:t>
            </w:r>
            <w:r w:rsidR="005D263F" w:rsidRPr="00702A1E">
              <w:rPr>
                <w:rFonts w:ascii="Times New Roman" w:hAnsi="Times New Roman" w:cs="Times New Roman"/>
                <w:iCs/>
              </w:rPr>
              <w:t xml:space="preserve"> (</w:t>
            </w:r>
            <w:r w:rsidR="00CD0DE9" w:rsidRPr="00702A1E">
              <w:rPr>
                <w:rFonts w:ascii="Times New Roman" w:hAnsi="Times New Roman" w:cs="Times New Roman"/>
                <w:iCs/>
              </w:rPr>
              <w:t>0,4</w:t>
            </w:r>
            <w:r w:rsidR="005D263F" w:rsidRPr="00702A1E">
              <w:rPr>
                <w:rFonts w:ascii="Times New Roman" w:hAnsi="Times New Roman" w:cs="Times New Roman"/>
                <w:iCs/>
              </w:rPr>
              <w:t xml:space="preserve"> % </w:t>
            </w:r>
            <w:r w:rsidR="00320521" w:rsidRPr="00702A1E">
              <w:rPr>
                <w:rFonts w:ascii="Times New Roman" w:hAnsi="Times New Roman" w:cs="Times New Roman"/>
                <w:iCs/>
              </w:rPr>
              <w:t xml:space="preserve">od </w:t>
            </w:r>
            <w:r w:rsidR="005D263F" w:rsidRPr="00702A1E">
              <w:rPr>
                <w:rFonts w:ascii="Times New Roman" w:hAnsi="Times New Roman" w:cs="Times New Roman"/>
                <w:iCs/>
              </w:rPr>
              <w:t xml:space="preserve">ukupnog plana za 2024.g.) </w:t>
            </w:r>
            <w:r w:rsidRPr="00702A1E">
              <w:rPr>
                <w:rFonts w:ascii="Times New Roman" w:hAnsi="Times New Roman" w:cs="Times New Roman"/>
                <w:iCs/>
              </w:rPr>
              <w:t xml:space="preserve"> iz vlastit</w:t>
            </w:r>
            <w:r w:rsidR="009C3736" w:rsidRPr="00702A1E">
              <w:rPr>
                <w:rFonts w:ascii="Times New Roman" w:hAnsi="Times New Roman" w:cs="Times New Roman"/>
                <w:iCs/>
              </w:rPr>
              <w:t xml:space="preserve">ih prihoda </w:t>
            </w:r>
            <w:r w:rsidR="007F782D" w:rsidRPr="00702A1E">
              <w:rPr>
                <w:rFonts w:ascii="Times New Roman" w:hAnsi="Times New Roman" w:cs="Times New Roman"/>
                <w:iCs/>
              </w:rPr>
              <w:t xml:space="preserve">Zavoda </w:t>
            </w:r>
            <w:r w:rsidR="009C3736" w:rsidRPr="00702A1E">
              <w:rPr>
                <w:rFonts w:ascii="Times New Roman" w:hAnsi="Times New Roman" w:cs="Times New Roman"/>
                <w:iCs/>
              </w:rPr>
              <w:t xml:space="preserve">za financiranje rashoda poslovanja (za financiranje pripravnosti, za dežurstva na javnim događanjima i dr.), 17.801.636,48 eura </w:t>
            </w:r>
            <w:r w:rsidR="005D263F" w:rsidRPr="00702A1E">
              <w:rPr>
                <w:rFonts w:ascii="Times New Roman" w:hAnsi="Times New Roman" w:cs="Times New Roman"/>
                <w:iCs/>
              </w:rPr>
              <w:t>(</w:t>
            </w:r>
            <w:r w:rsidR="00CD0DE9" w:rsidRPr="00702A1E">
              <w:rPr>
                <w:rFonts w:ascii="Times New Roman" w:hAnsi="Times New Roman" w:cs="Times New Roman"/>
                <w:iCs/>
              </w:rPr>
              <w:t>71,7</w:t>
            </w:r>
            <w:r w:rsidR="005D263F" w:rsidRPr="00702A1E">
              <w:rPr>
                <w:rFonts w:ascii="Times New Roman" w:hAnsi="Times New Roman" w:cs="Times New Roman"/>
                <w:iCs/>
              </w:rPr>
              <w:t xml:space="preserve"> % </w:t>
            </w:r>
            <w:r w:rsidR="00320521" w:rsidRPr="00702A1E">
              <w:rPr>
                <w:rFonts w:ascii="Times New Roman" w:hAnsi="Times New Roman" w:cs="Times New Roman"/>
                <w:iCs/>
              </w:rPr>
              <w:t xml:space="preserve">od </w:t>
            </w:r>
            <w:r w:rsidR="005D263F" w:rsidRPr="00702A1E">
              <w:rPr>
                <w:rFonts w:ascii="Times New Roman" w:hAnsi="Times New Roman" w:cs="Times New Roman"/>
                <w:iCs/>
              </w:rPr>
              <w:t xml:space="preserve">ukupnog plana za 2024.g.) </w:t>
            </w:r>
            <w:r w:rsidR="009C3736" w:rsidRPr="00702A1E">
              <w:rPr>
                <w:rFonts w:ascii="Times New Roman" w:hAnsi="Times New Roman" w:cs="Times New Roman"/>
                <w:iCs/>
              </w:rPr>
              <w:t xml:space="preserve">za financiranje ugovorenih timova hitne medicine i sanitetskog prijevoza te 1.103.500,00 eura </w:t>
            </w:r>
            <w:r w:rsidR="005D263F" w:rsidRPr="00702A1E">
              <w:rPr>
                <w:rFonts w:ascii="Times New Roman" w:hAnsi="Times New Roman" w:cs="Times New Roman"/>
                <w:iCs/>
              </w:rPr>
              <w:t>(</w:t>
            </w:r>
            <w:r w:rsidR="00CD0DE9" w:rsidRPr="00702A1E">
              <w:rPr>
                <w:rFonts w:ascii="Times New Roman" w:hAnsi="Times New Roman" w:cs="Times New Roman"/>
                <w:iCs/>
              </w:rPr>
              <w:t>4,5</w:t>
            </w:r>
            <w:r w:rsidR="005D263F" w:rsidRPr="00702A1E">
              <w:rPr>
                <w:rFonts w:ascii="Times New Roman" w:hAnsi="Times New Roman" w:cs="Times New Roman"/>
                <w:iCs/>
              </w:rPr>
              <w:t xml:space="preserve"> % </w:t>
            </w:r>
            <w:r w:rsidR="00320521" w:rsidRPr="00702A1E">
              <w:rPr>
                <w:rFonts w:ascii="Times New Roman" w:hAnsi="Times New Roman" w:cs="Times New Roman"/>
                <w:iCs/>
              </w:rPr>
              <w:t xml:space="preserve">od </w:t>
            </w:r>
            <w:r w:rsidR="005D263F" w:rsidRPr="00702A1E">
              <w:rPr>
                <w:rFonts w:ascii="Times New Roman" w:hAnsi="Times New Roman" w:cs="Times New Roman"/>
                <w:iCs/>
              </w:rPr>
              <w:t xml:space="preserve">ukupnog plana za 2024.g.) </w:t>
            </w:r>
            <w:r w:rsidR="009C3736" w:rsidRPr="00702A1E">
              <w:rPr>
                <w:rFonts w:ascii="Times New Roman" w:hAnsi="Times New Roman" w:cs="Times New Roman"/>
                <w:iCs/>
              </w:rPr>
              <w:t xml:space="preserve">za financiranje dodatnih timova od strane </w:t>
            </w:r>
            <w:r w:rsidR="007F782D" w:rsidRPr="00702A1E">
              <w:rPr>
                <w:rFonts w:ascii="Times New Roman" w:hAnsi="Times New Roman" w:cs="Times New Roman"/>
                <w:iCs/>
              </w:rPr>
              <w:t>jedinica lokalne i regionalne samouprave (</w:t>
            </w:r>
            <w:r w:rsidR="009C3736" w:rsidRPr="00702A1E">
              <w:rPr>
                <w:rFonts w:ascii="Times New Roman" w:hAnsi="Times New Roman" w:cs="Times New Roman"/>
                <w:iCs/>
              </w:rPr>
              <w:t>JLRS</w:t>
            </w:r>
            <w:r w:rsidR="007F782D" w:rsidRPr="00702A1E">
              <w:rPr>
                <w:rFonts w:ascii="Times New Roman" w:hAnsi="Times New Roman" w:cs="Times New Roman"/>
                <w:iCs/>
              </w:rPr>
              <w:t>)</w:t>
            </w:r>
            <w:r w:rsidR="009C3736" w:rsidRPr="00702A1E">
              <w:rPr>
                <w:rFonts w:ascii="Times New Roman" w:hAnsi="Times New Roman" w:cs="Times New Roman"/>
                <w:iCs/>
              </w:rPr>
              <w:t xml:space="preserve"> i isplate zaposlenicima temeljem pravomoćnih presuda za prekovremeni i za osnovicu i za privremeni dodatak</w:t>
            </w:r>
            <w:r w:rsidR="005D263F" w:rsidRPr="00702A1E">
              <w:rPr>
                <w:rFonts w:ascii="Times New Roman" w:hAnsi="Times New Roman" w:cs="Times New Roman"/>
                <w:iCs/>
              </w:rPr>
              <w:t>.</w:t>
            </w:r>
            <w:r w:rsidR="00CD0DE9" w:rsidRPr="00702A1E">
              <w:rPr>
                <w:rFonts w:ascii="Times New Roman" w:hAnsi="Times New Roman" w:cs="Times New Roman"/>
                <w:iCs/>
              </w:rPr>
              <w:t xml:space="preserve"> </w:t>
            </w:r>
            <w:r w:rsidR="00091387" w:rsidRPr="00702A1E">
              <w:rPr>
                <w:rFonts w:ascii="Times New Roman" w:hAnsi="Times New Roman" w:cs="Times New Roman"/>
                <w:iCs/>
              </w:rPr>
              <w:t>Rashodi koji će financirati u ovoj aktivnosti u 202</w:t>
            </w:r>
            <w:r w:rsidR="00C9075B" w:rsidRPr="00702A1E">
              <w:rPr>
                <w:rFonts w:ascii="Times New Roman" w:hAnsi="Times New Roman" w:cs="Times New Roman"/>
                <w:iCs/>
              </w:rPr>
              <w:t>4</w:t>
            </w:r>
            <w:r w:rsidR="00091387" w:rsidRPr="00702A1E">
              <w:rPr>
                <w:rFonts w:ascii="Times New Roman" w:hAnsi="Times New Roman" w:cs="Times New Roman"/>
                <w:iCs/>
              </w:rPr>
              <w:t xml:space="preserve">.g. su: rashodi za zaposlene u iznosu od </w:t>
            </w:r>
            <w:r w:rsidR="00C9075B" w:rsidRPr="00702A1E">
              <w:rPr>
                <w:rFonts w:ascii="Times New Roman" w:hAnsi="Times New Roman" w:cs="Times New Roman"/>
                <w:iCs/>
              </w:rPr>
              <w:t>16.991.700,00</w:t>
            </w:r>
            <w:r w:rsidR="00091387" w:rsidRPr="00702A1E">
              <w:rPr>
                <w:rFonts w:ascii="Times New Roman" w:hAnsi="Times New Roman" w:cs="Times New Roman"/>
                <w:iCs/>
              </w:rPr>
              <w:t xml:space="preserve"> €  odnosno 68,</w:t>
            </w:r>
            <w:r w:rsidR="00C9075B" w:rsidRPr="00702A1E">
              <w:rPr>
                <w:rFonts w:ascii="Times New Roman" w:hAnsi="Times New Roman" w:cs="Times New Roman"/>
                <w:iCs/>
              </w:rPr>
              <w:t>5</w:t>
            </w:r>
            <w:r w:rsidR="00091387" w:rsidRPr="00702A1E">
              <w:rPr>
                <w:rFonts w:ascii="Times New Roman" w:hAnsi="Times New Roman" w:cs="Times New Roman"/>
                <w:iCs/>
              </w:rPr>
              <w:t xml:space="preserve"> % ukupnog plana za 202</w:t>
            </w:r>
            <w:r w:rsidR="00C9075B" w:rsidRPr="00702A1E">
              <w:rPr>
                <w:rFonts w:ascii="Times New Roman" w:hAnsi="Times New Roman" w:cs="Times New Roman"/>
                <w:iCs/>
              </w:rPr>
              <w:t>4</w:t>
            </w:r>
            <w:r w:rsidR="00091387" w:rsidRPr="00702A1E">
              <w:rPr>
                <w:rFonts w:ascii="Times New Roman" w:hAnsi="Times New Roman" w:cs="Times New Roman"/>
                <w:iCs/>
              </w:rPr>
              <w:t xml:space="preserve">.g., materijalni rashodi u iznosu od </w:t>
            </w:r>
            <w:r w:rsidR="00C9075B" w:rsidRPr="00702A1E">
              <w:rPr>
                <w:rFonts w:ascii="Times New Roman" w:hAnsi="Times New Roman" w:cs="Times New Roman"/>
                <w:iCs/>
              </w:rPr>
              <w:t>3.046.900,00</w:t>
            </w:r>
            <w:r w:rsidR="00091387" w:rsidRPr="00702A1E">
              <w:rPr>
                <w:rFonts w:ascii="Times New Roman" w:hAnsi="Times New Roman" w:cs="Times New Roman"/>
                <w:iCs/>
              </w:rPr>
              <w:t xml:space="preserve"> € odnosno 1</w:t>
            </w:r>
            <w:r w:rsidR="00C9075B" w:rsidRPr="00702A1E">
              <w:rPr>
                <w:rFonts w:ascii="Times New Roman" w:hAnsi="Times New Roman" w:cs="Times New Roman"/>
                <w:iCs/>
              </w:rPr>
              <w:t>2</w:t>
            </w:r>
            <w:r w:rsidR="00091387" w:rsidRPr="00702A1E">
              <w:rPr>
                <w:rFonts w:ascii="Times New Roman" w:hAnsi="Times New Roman" w:cs="Times New Roman"/>
                <w:iCs/>
              </w:rPr>
              <w:t>,</w:t>
            </w:r>
            <w:r w:rsidR="00C9075B" w:rsidRPr="00702A1E">
              <w:rPr>
                <w:rFonts w:ascii="Times New Roman" w:hAnsi="Times New Roman" w:cs="Times New Roman"/>
                <w:iCs/>
              </w:rPr>
              <w:t>3</w:t>
            </w:r>
            <w:r w:rsidR="00091387" w:rsidRPr="00702A1E">
              <w:rPr>
                <w:rFonts w:ascii="Times New Roman" w:hAnsi="Times New Roman" w:cs="Times New Roman"/>
                <w:iCs/>
              </w:rPr>
              <w:t xml:space="preserve"> % ukupnog plana i financijski rashodi u iznosu od </w:t>
            </w:r>
            <w:r w:rsidR="00C9075B" w:rsidRPr="00702A1E">
              <w:rPr>
                <w:rFonts w:ascii="Times New Roman" w:hAnsi="Times New Roman" w:cs="Times New Roman"/>
                <w:iCs/>
              </w:rPr>
              <w:t>31</w:t>
            </w:r>
            <w:r w:rsidR="00091387" w:rsidRPr="00702A1E">
              <w:rPr>
                <w:rFonts w:ascii="Times New Roman" w:hAnsi="Times New Roman" w:cs="Times New Roman"/>
                <w:iCs/>
              </w:rPr>
              <w:t>.</w:t>
            </w:r>
            <w:r w:rsidR="00C9075B" w:rsidRPr="00702A1E">
              <w:rPr>
                <w:rFonts w:ascii="Times New Roman" w:hAnsi="Times New Roman" w:cs="Times New Roman"/>
                <w:iCs/>
              </w:rPr>
              <w:t>000,00</w:t>
            </w:r>
            <w:r w:rsidR="00091387" w:rsidRPr="00702A1E">
              <w:rPr>
                <w:rFonts w:ascii="Times New Roman" w:hAnsi="Times New Roman" w:cs="Times New Roman"/>
                <w:iCs/>
              </w:rPr>
              <w:t xml:space="preserve">  € odnosno 0,</w:t>
            </w:r>
            <w:r w:rsidR="00C9075B" w:rsidRPr="00702A1E">
              <w:rPr>
                <w:rFonts w:ascii="Times New Roman" w:hAnsi="Times New Roman" w:cs="Times New Roman"/>
                <w:iCs/>
              </w:rPr>
              <w:t>1</w:t>
            </w:r>
            <w:r w:rsidR="00091387" w:rsidRPr="00702A1E">
              <w:rPr>
                <w:rFonts w:ascii="Times New Roman" w:hAnsi="Times New Roman" w:cs="Times New Roman"/>
                <w:iCs/>
              </w:rPr>
              <w:t xml:space="preserve"> % ukupnog plana.</w:t>
            </w:r>
          </w:p>
          <w:p w14:paraId="3487A25F" w14:textId="70F05357" w:rsidR="00FA6BF1" w:rsidRPr="00702A1E" w:rsidRDefault="00091387" w:rsidP="00C97AA2">
            <w:pPr>
              <w:spacing w:line="240" w:lineRule="auto"/>
              <w:jc w:val="both"/>
              <w:rPr>
                <w:rFonts w:ascii="Times New Roman" w:hAnsi="Times New Roman" w:cs="Times New Roman"/>
                <w:iCs/>
              </w:rPr>
            </w:pPr>
            <w:r w:rsidRPr="00702A1E">
              <w:rPr>
                <w:rFonts w:ascii="Times New Roman" w:hAnsi="Times New Roman" w:cs="Times New Roman"/>
                <w:iCs/>
              </w:rPr>
              <w:t>U 202</w:t>
            </w:r>
            <w:r w:rsidR="00C9075B" w:rsidRPr="00702A1E">
              <w:rPr>
                <w:rFonts w:ascii="Times New Roman" w:hAnsi="Times New Roman" w:cs="Times New Roman"/>
                <w:iCs/>
              </w:rPr>
              <w:t>5</w:t>
            </w:r>
            <w:r w:rsidRPr="00702A1E">
              <w:rPr>
                <w:rFonts w:ascii="Times New Roman" w:hAnsi="Times New Roman" w:cs="Times New Roman"/>
                <w:iCs/>
              </w:rPr>
              <w:t xml:space="preserve">. godini sredstva za ovu aktivnost planiraju se </w:t>
            </w:r>
            <w:r w:rsidR="00C9075B" w:rsidRPr="00702A1E">
              <w:rPr>
                <w:rFonts w:ascii="Times New Roman" w:hAnsi="Times New Roman" w:cs="Times New Roman"/>
                <w:iCs/>
              </w:rPr>
              <w:t xml:space="preserve">manja za </w:t>
            </w:r>
            <w:r w:rsidRPr="00702A1E">
              <w:rPr>
                <w:rFonts w:ascii="Times New Roman" w:hAnsi="Times New Roman" w:cs="Times New Roman"/>
                <w:iCs/>
              </w:rPr>
              <w:t>0,</w:t>
            </w:r>
            <w:r w:rsidR="00C9075B" w:rsidRPr="00702A1E">
              <w:rPr>
                <w:rFonts w:ascii="Times New Roman" w:hAnsi="Times New Roman" w:cs="Times New Roman"/>
                <w:iCs/>
              </w:rPr>
              <w:t>4</w:t>
            </w:r>
            <w:r w:rsidRPr="00702A1E">
              <w:rPr>
                <w:rFonts w:ascii="Times New Roman" w:hAnsi="Times New Roman" w:cs="Times New Roman"/>
                <w:iCs/>
              </w:rPr>
              <w:t xml:space="preserve"> %</w:t>
            </w:r>
            <w:r w:rsidR="00147947" w:rsidRPr="00702A1E">
              <w:rPr>
                <w:rFonts w:ascii="Times New Roman" w:hAnsi="Times New Roman" w:cs="Times New Roman"/>
                <w:iCs/>
              </w:rPr>
              <w:t xml:space="preserve"> u odnosu na prethodnu godinu.</w:t>
            </w:r>
            <w:r w:rsidR="00D95955" w:rsidRPr="00702A1E">
              <w:rPr>
                <w:rFonts w:ascii="Times New Roman" w:hAnsi="Times New Roman" w:cs="Times New Roman"/>
                <w:iCs/>
              </w:rPr>
              <w:t xml:space="preserve"> </w:t>
            </w:r>
            <w:r w:rsidR="0040799A" w:rsidRPr="00702A1E">
              <w:rPr>
                <w:rFonts w:ascii="Times New Roman" w:hAnsi="Times New Roman" w:cs="Times New Roman"/>
                <w:iCs/>
              </w:rPr>
              <w:t xml:space="preserve">Do kraja 2024.g. planira se da će biti donesen novi zakon o plaćama te da će privremeni dodatak biti </w:t>
            </w:r>
            <w:r w:rsidR="00147947" w:rsidRPr="00702A1E">
              <w:rPr>
                <w:rFonts w:ascii="Times New Roman" w:hAnsi="Times New Roman" w:cs="Times New Roman"/>
                <w:iCs/>
              </w:rPr>
              <w:t>sastavni dio</w:t>
            </w:r>
            <w:r w:rsidR="0040799A" w:rsidRPr="00702A1E">
              <w:rPr>
                <w:rFonts w:ascii="Times New Roman" w:hAnsi="Times New Roman" w:cs="Times New Roman"/>
                <w:iCs/>
              </w:rPr>
              <w:t xml:space="preserve"> nov</w:t>
            </w:r>
            <w:r w:rsidR="00147947" w:rsidRPr="00702A1E">
              <w:rPr>
                <w:rFonts w:ascii="Times New Roman" w:hAnsi="Times New Roman" w:cs="Times New Roman"/>
                <w:iCs/>
              </w:rPr>
              <w:t>ih</w:t>
            </w:r>
            <w:r w:rsidR="0040799A" w:rsidRPr="00702A1E">
              <w:rPr>
                <w:rFonts w:ascii="Times New Roman" w:hAnsi="Times New Roman" w:cs="Times New Roman"/>
                <w:iCs/>
              </w:rPr>
              <w:t xml:space="preserve"> koeficijen</w:t>
            </w:r>
            <w:r w:rsidR="00147947" w:rsidRPr="00702A1E">
              <w:rPr>
                <w:rFonts w:ascii="Times New Roman" w:hAnsi="Times New Roman" w:cs="Times New Roman"/>
                <w:iCs/>
              </w:rPr>
              <w:t>ata</w:t>
            </w:r>
            <w:r w:rsidR="0040799A" w:rsidRPr="00702A1E">
              <w:rPr>
                <w:rFonts w:ascii="Times New Roman" w:hAnsi="Times New Roman" w:cs="Times New Roman"/>
                <w:iCs/>
              </w:rPr>
              <w:t xml:space="preserve"> za obračun plaća </w:t>
            </w:r>
            <w:r w:rsidR="007F782D" w:rsidRPr="00702A1E">
              <w:rPr>
                <w:rFonts w:ascii="Times New Roman" w:hAnsi="Times New Roman" w:cs="Times New Roman"/>
                <w:iCs/>
              </w:rPr>
              <w:t xml:space="preserve">(znači </w:t>
            </w:r>
            <w:r w:rsidR="0040799A" w:rsidRPr="00702A1E">
              <w:rPr>
                <w:rFonts w:ascii="Times New Roman" w:hAnsi="Times New Roman" w:cs="Times New Roman"/>
                <w:iCs/>
              </w:rPr>
              <w:t>da će biti financiran iz redovnih izvora, a ne iz izvora pomoći</w:t>
            </w:r>
            <w:r w:rsidR="007F782D" w:rsidRPr="00702A1E">
              <w:rPr>
                <w:rFonts w:ascii="Times New Roman" w:hAnsi="Times New Roman" w:cs="Times New Roman"/>
                <w:iCs/>
              </w:rPr>
              <w:t>)</w:t>
            </w:r>
            <w:r w:rsidR="0040799A" w:rsidRPr="00702A1E">
              <w:rPr>
                <w:rFonts w:ascii="Times New Roman" w:hAnsi="Times New Roman" w:cs="Times New Roman"/>
                <w:iCs/>
              </w:rPr>
              <w:t>. Stoga se</w:t>
            </w:r>
            <w:r w:rsidR="00147947" w:rsidRPr="00702A1E">
              <w:rPr>
                <w:rFonts w:ascii="Times New Roman" w:hAnsi="Times New Roman" w:cs="Times New Roman"/>
                <w:iCs/>
              </w:rPr>
              <w:t xml:space="preserve"> zbog uključivanja privremenog dodatka planira </w:t>
            </w:r>
            <w:r w:rsidR="0040799A" w:rsidRPr="00702A1E">
              <w:rPr>
                <w:rFonts w:ascii="Times New Roman" w:hAnsi="Times New Roman" w:cs="Times New Roman"/>
                <w:iCs/>
              </w:rPr>
              <w:t xml:space="preserve">povećanje svih izvora za prosječno 5% </w:t>
            </w:r>
            <w:r w:rsidR="00147947" w:rsidRPr="00702A1E">
              <w:rPr>
                <w:rFonts w:ascii="Times New Roman" w:hAnsi="Times New Roman" w:cs="Times New Roman"/>
                <w:iCs/>
              </w:rPr>
              <w:t xml:space="preserve">osim izvora pomoći koji će se </w:t>
            </w:r>
            <w:r w:rsidR="0040799A" w:rsidRPr="00702A1E">
              <w:rPr>
                <w:rFonts w:ascii="Times New Roman" w:hAnsi="Times New Roman" w:cs="Times New Roman"/>
                <w:iCs/>
              </w:rPr>
              <w:t>istovremeno smanj</w:t>
            </w:r>
            <w:r w:rsidR="00147947" w:rsidRPr="00702A1E">
              <w:rPr>
                <w:rFonts w:ascii="Times New Roman" w:hAnsi="Times New Roman" w:cs="Times New Roman"/>
                <w:iCs/>
              </w:rPr>
              <w:t>iti</w:t>
            </w:r>
            <w:r w:rsidR="0040799A" w:rsidRPr="00702A1E">
              <w:rPr>
                <w:rFonts w:ascii="Times New Roman" w:hAnsi="Times New Roman" w:cs="Times New Roman"/>
                <w:iCs/>
              </w:rPr>
              <w:t xml:space="preserve">. Također, planirano je da će sve presude za osnovicu i prekovremene </w:t>
            </w:r>
            <w:r w:rsidR="00147947" w:rsidRPr="00702A1E">
              <w:rPr>
                <w:rFonts w:ascii="Times New Roman" w:hAnsi="Times New Roman" w:cs="Times New Roman"/>
                <w:iCs/>
              </w:rPr>
              <w:t xml:space="preserve">biti </w:t>
            </w:r>
            <w:r w:rsidR="0040799A" w:rsidRPr="00702A1E">
              <w:rPr>
                <w:rFonts w:ascii="Times New Roman" w:hAnsi="Times New Roman" w:cs="Times New Roman"/>
                <w:iCs/>
              </w:rPr>
              <w:t>refundira</w:t>
            </w:r>
            <w:r w:rsidR="00147947" w:rsidRPr="00702A1E">
              <w:rPr>
                <w:rFonts w:ascii="Times New Roman" w:hAnsi="Times New Roman" w:cs="Times New Roman"/>
                <w:iCs/>
              </w:rPr>
              <w:t>ne</w:t>
            </w:r>
            <w:r w:rsidR="0040799A" w:rsidRPr="00702A1E">
              <w:rPr>
                <w:rFonts w:ascii="Times New Roman" w:hAnsi="Times New Roman" w:cs="Times New Roman"/>
                <w:iCs/>
              </w:rPr>
              <w:t xml:space="preserve"> iz državnog proračuna tijekom 2024.g. te da u 2025.g. neće biti </w:t>
            </w:r>
            <w:r w:rsidR="00147947" w:rsidRPr="00702A1E">
              <w:rPr>
                <w:rFonts w:ascii="Times New Roman" w:hAnsi="Times New Roman" w:cs="Times New Roman"/>
                <w:iCs/>
              </w:rPr>
              <w:t>prihoda od pomoći</w:t>
            </w:r>
            <w:r w:rsidR="0040799A" w:rsidRPr="00702A1E">
              <w:rPr>
                <w:rFonts w:ascii="Times New Roman" w:hAnsi="Times New Roman" w:cs="Times New Roman"/>
                <w:iCs/>
              </w:rPr>
              <w:t xml:space="preserve"> po toj osnovi. </w:t>
            </w:r>
            <w:r w:rsidR="00960275" w:rsidRPr="00702A1E">
              <w:rPr>
                <w:rFonts w:ascii="Times New Roman" w:hAnsi="Times New Roman" w:cs="Times New Roman"/>
                <w:iCs/>
              </w:rPr>
              <w:t xml:space="preserve">Zbog </w:t>
            </w:r>
            <w:r w:rsidR="00147947" w:rsidRPr="00702A1E">
              <w:rPr>
                <w:rFonts w:ascii="Times New Roman" w:hAnsi="Times New Roman" w:cs="Times New Roman"/>
                <w:iCs/>
              </w:rPr>
              <w:t>navedenih planiranih</w:t>
            </w:r>
            <w:r w:rsidR="00960275" w:rsidRPr="00702A1E">
              <w:rPr>
                <w:rFonts w:ascii="Times New Roman" w:hAnsi="Times New Roman" w:cs="Times New Roman"/>
                <w:iCs/>
              </w:rPr>
              <w:t xml:space="preserve"> promjena </w:t>
            </w:r>
            <w:r w:rsidR="00147947" w:rsidRPr="00702A1E">
              <w:rPr>
                <w:rFonts w:ascii="Times New Roman" w:hAnsi="Times New Roman" w:cs="Times New Roman"/>
                <w:iCs/>
              </w:rPr>
              <w:t xml:space="preserve">prihodi </w:t>
            </w:r>
            <w:r w:rsidR="00960275" w:rsidRPr="00702A1E">
              <w:rPr>
                <w:rFonts w:ascii="Times New Roman" w:hAnsi="Times New Roman" w:cs="Times New Roman"/>
                <w:iCs/>
              </w:rPr>
              <w:t>iz izvora p</w:t>
            </w:r>
            <w:r w:rsidR="00147947" w:rsidRPr="00702A1E">
              <w:rPr>
                <w:rFonts w:ascii="Times New Roman" w:hAnsi="Times New Roman" w:cs="Times New Roman"/>
                <w:iCs/>
              </w:rPr>
              <w:t>o</w:t>
            </w:r>
            <w:r w:rsidR="00960275" w:rsidRPr="00702A1E">
              <w:rPr>
                <w:rFonts w:ascii="Times New Roman" w:hAnsi="Times New Roman" w:cs="Times New Roman"/>
                <w:iCs/>
              </w:rPr>
              <w:t>moći biti će manji za 77,1 % dok istovremeno z</w:t>
            </w:r>
            <w:r w:rsidR="0040799A" w:rsidRPr="00702A1E">
              <w:rPr>
                <w:rFonts w:ascii="Times New Roman" w:hAnsi="Times New Roman" w:cs="Times New Roman"/>
                <w:iCs/>
              </w:rPr>
              <w:t>bog novog zakona o plaćama (uključivanje privremenog dodatka u redovnu plaću) i zbog porasta minulog staža za 0,5 % planirano je povećanje prihoda iz proračuna SDŽ za 5,1%, povećanje vlastitih prihoda za 4,3 % te povećanje prihoda od HZZO-a za 3,9%</w:t>
            </w:r>
            <w:r w:rsidR="00960275" w:rsidRPr="00702A1E">
              <w:rPr>
                <w:rFonts w:ascii="Times New Roman" w:hAnsi="Times New Roman" w:cs="Times New Roman"/>
                <w:iCs/>
              </w:rPr>
              <w:t xml:space="preserve">. </w:t>
            </w:r>
            <w:r w:rsidRPr="00702A1E">
              <w:rPr>
                <w:rFonts w:ascii="Times New Roman" w:hAnsi="Times New Roman" w:cs="Times New Roman"/>
                <w:iCs/>
              </w:rPr>
              <w:t xml:space="preserve">Uravnoteženo prihodima planiraju se rashodi za zaposlene u iznosu od </w:t>
            </w:r>
            <w:r w:rsidR="00960275" w:rsidRPr="00702A1E">
              <w:rPr>
                <w:rFonts w:ascii="Times New Roman" w:hAnsi="Times New Roman" w:cs="Times New Roman"/>
                <w:iCs/>
              </w:rPr>
              <w:t>16.930.400,00</w:t>
            </w:r>
            <w:r w:rsidRPr="00702A1E">
              <w:rPr>
                <w:rFonts w:ascii="Times New Roman" w:hAnsi="Times New Roman" w:cs="Times New Roman"/>
                <w:iCs/>
              </w:rPr>
              <w:t xml:space="preserve"> € (</w:t>
            </w:r>
            <w:r w:rsidR="00B10E5E" w:rsidRPr="00702A1E">
              <w:rPr>
                <w:rFonts w:ascii="Times New Roman" w:hAnsi="Times New Roman" w:cs="Times New Roman"/>
                <w:iCs/>
              </w:rPr>
              <w:t>manji za 0,4</w:t>
            </w:r>
            <w:r w:rsidRPr="00702A1E">
              <w:rPr>
                <w:rFonts w:ascii="Times New Roman" w:hAnsi="Times New Roman" w:cs="Times New Roman"/>
                <w:iCs/>
              </w:rPr>
              <w:t xml:space="preserve"> % u odnosu na 202</w:t>
            </w:r>
            <w:r w:rsidR="00B10E5E" w:rsidRPr="00702A1E">
              <w:rPr>
                <w:rFonts w:ascii="Times New Roman" w:hAnsi="Times New Roman" w:cs="Times New Roman"/>
                <w:iCs/>
              </w:rPr>
              <w:t>4</w:t>
            </w:r>
            <w:r w:rsidRPr="00702A1E">
              <w:rPr>
                <w:rFonts w:ascii="Times New Roman" w:hAnsi="Times New Roman" w:cs="Times New Roman"/>
                <w:iCs/>
              </w:rPr>
              <w:t xml:space="preserve">.g.), materijalni rashodi u iznosu od </w:t>
            </w:r>
            <w:r w:rsidR="00960275" w:rsidRPr="00702A1E">
              <w:rPr>
                <w:rFonts w:ascii="Times New Roman" w:hAnsi="Times New Roman" w:cs="Times New Roman"/>
                <w:iCs/>
              </w:rPr>
              <w:t>3.031.100,00</w:t>
            </w:r>
            <w:r w:rsidRPr="00702A1E">
              <w:rPr>
                <w:rFonts w:ascii="Times New Roman" w:hAnsi="Times New Roman" w:cs="Times New Roman"/>
                <w:iCs/>
              </w:rPr>
              <w:t xml:space="preserve"> € (</w:t>
            </w:r>
            <w:r w:rsidR="00B10E5E" w:rsidRPr="00702A1E">
              <w:rPr>
                <w:rFonts w:ascii="Times New Roman" w:hAnsi="Times New Roman" w:cs="Times New Roman"/>
                <w:iCs/>
              </w:rPr>
              <w:t xml:space="preserve">manji za 0,5 </w:t>
            </w:r>
            <w:r w:rsidRPr="00702A1E">
              <w:rPr>
                <w:rFonts w:ascii="Times New Roman" w:hAnsi="Times New Roman" w:cs="Times New Roman"/>
                <w:iCs/>
              </w:rPr>
              <w:t>% u odnosu na 202</w:t>
            </w:r>
            <w:r w:rsidR="00B10E5E" w:rsidRPr="00702A1E">
              <w:rPr>
                <w:rFonts w:ascii="Times New Roman" w:hAnsi="Times New Roman" w:cs="Times New Roman"/>
                <w:iCs/>
              </w:rPr>
              <w:t>4</w:t>
            </w:r>
            <w:r w:rsidRPr="00702A1E">
              <w:rPr>
                <w:rFonts w:ascii="Times New Roman" w:hAnsi="Times New Roman" w:cs="Times New Roman"/>
                <w:iCs/>
              </w:rPr>
              <w:t xml:space="preserve">.g.) i financijski rashodi u iznosu od </w:t>
            </w:r>
            <w:r w:rsidR="00960275" w:rsidRPr="00702A1E">
              <w:rPr>
                <w:rFonts w:ascii="Times New Roman" w:hAnsi="Times New Roman" w:cs="Times New Roman"/>
                <w:iCs/>
              </w:rPr>
              <w:t>18.0</w:t>
            </w:r>
            <w:r w:rsidRPr="00702A1E">
              <w:rPr>
                <w:rFonts w:ascii="Times New Roman" w:hAnsi="Times New Roman" w:cs="Times New Roman"/>
                <w:iCs/>
              </w:rPr>
              <w:t>0</w:t>
            </w:r>
            <w:r w:rsidR="00960275" w:rsidRPr="00702A1E">
              <w:rPr>
                <w:rFonts w:ascii="Times New Roman" w:hAnsi="Times New Roman" w:cs="Times New Roman"/>
                <w:iCs/>
              </w:rPr>
              <w:t>0</w:t>
            </w:r>
            <w:r w:rsidRPr="00702A1E">
              <w:rPr>
                <w:rFonts w:ascii="Times New Roman" w:hAnsi="Times New Roman" w:cs="Times New Roman"/>
                <w:iCs/>
              </w:rPr>
              <w:t>,</w:t>
            </w:r>
            <w:r w:rsidR="00960275" w:rsidRPr="00702A1E">
              <w:rPr>
                <w:rFonts w:ascii="Times New Roman" w:hAnsi="Times New Roman" w:cs="Times New Roman"/>
                <w:iCs/>
              </w:rPr>
              <w:t>00</w:t>
            </w:r>
            <w:r w:rsidRPr="00702A1E">
              <w:rPr>
                <w:rFonts w:ascii="Times New Roman" w:hAnsi="Times New Roman" w:cs="Times New Roman"/>
                <w:iCs/>
              </w:rPr>
              <w:t xml:space="preserve"> € (manji za </w:t>
            </w:r>
            <w:r w:rsidR="00B10E5E" w:rsidRPr="00702A1E">
              <w:rPr>
                <w:rFonts w:ascii="Times New Roman" w:hAnsi="Times New Roman" w:cs="Times New Roman"/>
                <w:iCs/>
              </w:rPr>
              <w:t>41,9</w:t>
            </w:r>
            <w:r w:rsidRPr="00702A1E">
              <w:rPr>
                <w:rFonts w:ascii="Times New Roman" w:hAnsi="Times New Roman" w:cs="Times New Roman"/>
                <w:iCs/>
              </w:rPr>
              <w:t xml:space="preserve"> % u odnosu na 202</w:t>
            </w:r>
            <w:r w:rsidR="00B10E5E" w:rsidRPr="00702A1E">
              <w:rPr>
                <w:rFonts w:ascii="Times New Roman" w:hAnsi="Times New Roman" w:cs="Times New Roman"/>
                <w:iCs/>
              </w:rPr>
              <w:t>4</w:t>
            </w:r>
            <w:r w:rsidRPr="00702A1E">
              <w:rPr>
                <w:rFonts w:ascii="Times New Roman" w:hAnsi="Times New Roman" w:cs="Times New Roman"/>
                <w:iCs/>
              </w:rPr>
              <w:t>.g.).</w:t>
            </w:r>
          </w:p>
          <w:p w14:paraId="526CF0A6" w14:textId="693E91B4" w:rsidR="00FA6BF1" w:rsidRPr="00702A1E" w:rsidRDefault="00091387" w:rsidP="00C97AA2">
            <w:pPr>
              <w:spacing w:line="240" w:lineRule="auto"/>
              <w:jc w:val="both"/>
              <w:rPr>
                <w:rFonts w:ascii="Times New Roman" w:hAnsi="Times New Roman" w:cs="Times New Roman"/>
                <w:iCs/>
              </w:rPr>
            </w:pPr>
            <w:r w:rsidRPr="00702A1E">
              <w:rPr>
                <w:rFonts w:ascii="Times New Roman" w:hAnsi="Times New Roman" w:cs="Times New Roman"/>
                <w:iCs/>
              </w:rPr>
              <w:t>U 202</w:t>
            </w:r>
            <w:r w:rsidR="00B10E5E" w:rsidRPr="00702A1E">
              <w:rPr>
                <w:rFonts w:ascii="Times New Roman" w:hAnsi="Times New Roman" w:cs="Times New Roman"/>
                <w:iCs/>
              </w:rPr>
              <w:t>6</w:t>
            </w:r>
            <w:r w:rsidRPr="00702A1E">
              <w:rPr>
                <w:rFonts w:ascii="Times New Roman" w:hAnsi="Times New Roman" w:cs="Times New Roman"/>
                <w:iCs/>
              </w:rPr>
              <w:t xml:space="preserve">. godini ova aktivnost će se financirati iz istih izvora prihoda koji su za </w:t>
            </w:r>
            <w:r w:rsidR="009B6021" w:rsidRPr="00702A1E">
              <w:rPr>
                <w:rFonts w:ascii="Times New Roman" w:hAnsi="Times New Roman" w:cs="Times New Roman"/>
                <w:iCs/>
              </w:rPr>
              <w:t>0,9</w:t>
            </w:r>
            <w:r w:rsidRPr="00702A1E">
              <w:rPr>
                <w:rFonts w:ascii="Times New Roman" w:hAnsi="Times New Roman" w:cs="Times New Roman"/>
                <w:iCs/>
              </w:rPr>
              <w:t xml:space="preserve"> % veći od plana za 202</w:t>
            </w:r>
            <w:r w:rsidR="00B10E5E" w:rsidRPr="00702A1E">
              <w:rPr>
                <w:rFonts w:ascii="Times New Roman" w:hAnsi="Times New Roman" w:cs="Times New Roman"/>
                <w:iCs/>
              </w:rPr>
              <w:t>5</w:t>
            </w:r>
            <w:r w:rsidRPr="00702A1E">
              <w:rPr>
                <w:rFonts w:ascii="Times New Roman" w:hAnsi="Times New Roman" w:cs="Times New Roman"/>
                <w:iCs/>
              </w:rPr>
              <w:t>. godinu. Prihod</w:t>
            </w:r>
            <w:r w:rsidR="00B10E5E" w:rsidRPr="00702A1E">
              <w:rPr>
                <w:rFonts w:ascii="Times New Roman" w:hAnsi="Times New Roman" w:cs="Times New Roman"/>
                <w:iCs/>
              </w:rPr>
              <w:t>i</w:t>
            </w:r>
            <w:r w:rsidRPr="00702A1E">
              <w:rPr>
                <w:rFonts w:ascii="Times New Roman" w:hAnsi="Times New Roman" w:cs="Times New Roman"/>
                <w:iCs/>
              </w:rPr>
              <w:t xml:space="preserve"> </w:t>
            </w:r>
            <w:r w:rsidR="00B10E5E" w:rsidRPr="00702A1E">
              <w:rPr>
                <w:rFonts w:ascii="Times New Roman" w:hAnsi="Times New Roman" w:cs="Times New Roman"/>
                <w:iCs/>
              </w:rPr>
              <w:t xml:space="preserve">iz proračuna SDŽ veći su za 3,2 %, vlastiti prihodi veći su za 4,2 % </w:t>
            </w:r>
            <w:r w:rsidR="004432C6" w:rsidRPr="00702A1E">
              <w:rPr>
                <w:rFonts w:ascii="Times New Roman" w:hAnsi="Times New Roman" w:cs="Times New Roman"/>
                <w:iCs/>
              </w:rPr>
              <w:t xml:space="preserve">prihodi </w:t>
            </w:r>
            <w:r w:rsidRPr="00702A1E">
              <w:rPr>
                <w:rFonts w:ascii="Times New Roman" w:hAnsi="Times New Roman" w:cs="Times New Roman"/>
                <w:iCs/>
              </w:rPr>
              <w:t xml:space="preserve">od HZZO-a veći </w:t>
            </w:r>
            <w:r w:rsidR="004432C6" w:rsidRPr="00702A1E">
              <w:rPr>
                <w:rFonts w:ascii="Times New Roman" w:hAnsi="Times New Roman" w:cs="Times New Roman"/>
                <w:iCs/>
              </w:rPr>
              <w:t>su</w:t>
            </w:r>
            <w:r w:rsidRPr="00702A1E">
              <w:rPr>
                <w:rFonts w:ascii="Times New Roman" w:hAnsi="Times New Roman" w:cs="Times New Roman"/>
                <w:iCs/>
              </w:rPr>
              <w:t xml:space="preserve"> za 0,</w:t>
            </w:r>
            <w:r w:rsidR="00B10E5E" w:rsidRPr="00702A1E">
              <w:rPr>
                <w:rFonts w:ascii="Times New Roman" w:hAnsi="Times New Roman" w:cs="Times New Roman"/>
                <w:iCs/>
              </w:rPr>
              <w:t>7</w:t>
            </w:r>
            <w:r w:rsidRPr="00702A1E">
              <w:rPr>
                <w:rFonts w:ascii="Times New Roman" w:hAnsi="Times New Roman" w:cs="Times New Roman"/>
                <w:iCs/>
              </w:rPr>
              <w:t xml:space="preserve"> %, i prihodi od pomoći veći su za </w:t>
            </w:r>
            <w:r w:rsidR="00B10E5E" w:rsidRPr="00702A1E">
              <w:rPr>
                <w:rFonts w:ascii="Times New Roman" w:hAnsi="Times New Roman" w:cs="Times New Roman"/>
                <w:iCs/>
              </w:rPr>
              <w:t>5,4</w:t>
            </w:r>
            <w:r w:rsidRPr="00702A1E">
              <w:rPr>
                <w:rFonts w:ascii="Times New Roman" w:hAnsi="Times New Roman" w:cs="Times New Roman"/>
                <w:iCs/>
              </w:rPr>
              <w:t>%</w:t>
            </w:r>
            <w:r w:rsidR="00B10E5E" w:rsidRPr="00702A1E">
              <w:rPr>
                <w:rFonts w:ascii="Times New Roman" w:hAnsi="Times New Roman" w:cs="Times New Roman"/>
                <w:iCs/>
              </w:rPr>
              <w:t>.</w:t>
            </w:r>
            <w:r w:rsidRPr="00702A1E">
              <w:rPr>
                <w:rFonts w:ascii="Times New Roman" w:hAnsi="Times New Roman" w:cs="Times New Roman"/>
                <w:iCs/>
              </w:rPr>
              <w:t xml:space="preserve"> Shodno prihodima planiraju se rashodi za zaposlene u iznosu od </w:t>
            </w:r>
            <w:r w:rsidR="004432C6" w:rsidRPr="00702A1E">
              <w:rPr>
                <w:rFonts w:ascii="Times New Roman" w:hAnsi="Times New Roman" w:cs="Times New Roman"/>
                <w:iCs/>
              </w:rPr>
              <w:t>17.072.500,00</w:t>
            </w:r>
            <w:r w:rsidRPr="00702A1E">
              <w:rPr>
                <w:rFonts w:ascii="Times New Roman" w:hAnsi="Times New Roman" w:cs="Times New Roman"/>
                <w:iCs/>
              </w:rPr>
              <w:t xml:space="preserve"> € (veći  za 0,</w:t>
            </w:r>
            <w:r w:rsidR="004432C6" w:rsidRPr="00702A1E">
              <w:rPr>
                <w:rFonts w:ascii="Times New Roman" w:hAnsi="Times New Roman" w:cs="Times New Roman"/>
                <w:iCs/>
              </w:rPr>
              <w:t>8</w:t>
            </w:r>
            <w:r w:rsidRPr="00702A1E">
              <w:rPr>
                <w:rFonts w:ascii="Times New Roman" w:hAnsi="Times New Roman" w:cs="Times New Roman"/>
                <w:iCs/>
              </w:rPr>
              <w:t xml:space="preserve"> % u odnosu na 202</w:t>
            </w:r>
            <w:r w:rsidR="004432C6" w:rsidRPr="00702A1E">
              <w:rPr>
                <w:rFonts w:ascii="Times New Roman" w:hAnsi="Times New Roman" w:cs="Times New Roman"/>
                <w:iCs/>
              </w:rPr>
              <w:t>5</w:t>
            </w:r>
            <w:r w:rsidRPr="00702A1E">
              <w:rPr>
                <w:rFonts w:ascii="Times New Roman" w:hAnsi="Times New Roman" w:cs="Times New Roman"/>
                <w:iCs/>
              </w:rPr>
              <w:t>.g.), materijalni rashodi u iznosu od 3.0</w:t>
            </w:r>
            <w:r w:rsidR="004432C6" w:rsidRPr="00702A1E">
              <w:rPr>
                <w:rFonts w:ascii="Times New Roman" w:hAnsi="Times New Roman" w:cs="Times New Roman"/>
                <w:iCs/>
              </w:rPr>
              <w:t>77.600,00</w:t>
            </w:r>
            <w:r w:rsidRPr="00702A1E">
              <w:rPr>
                <w:rFonts w:ascii="Times New Roman" w:hAnsi="Times New Roman" w:cs="Times New Roman"/>
                <w:iCs/>
              </w:rPr>
              <w:t xml:space="preserve"> € (veći za </w:t>
            </w:r>
            <w:r w:rsidR="004432C6" w:rsidRPr="00702A1E">
              <w:rPr>
                <w:rFonts w:ascii="Times New Roman" w:hAnsi="Times New Roman" w:cs="Times New Roman"/>
                <w:iCs/>
              </w:rPr>
              <w:t>1,5</w:t>
            </w:r>
            <w:r w:rsidRPr="00702A1E">
              <w:rPr>
                <w:rFonts w:ascii="Times New Roman" w:hAnsi="Times New Roman" w:cs="Times New Roman"/>
                <w:iCs/>
              </w:rPr>
              <w:t xml:space="preserve"> % u odnosu na 202</w:t>
            </w:r>
            <w:r w:rsidR="004432C6" w:rsidRPr="00702A1E">
              <w:rPr>
                <w:rFonts w:ascii="Times New Roman" w:hAnsi="Times New Roman" w:cs="Times New Roman"/>
                <w:iCs/>
              </w:rPr>
              <w:t>5</w:t>
            </w:r>
            <w:r w:rsidRPr="00702A1E">
              <w:rPr>
                <w:rFonts w:ascii="Times New Roman" w:hAnsi="Times New Roman" w:cs="Times New Roman"/>
                <w:iCs/>
              </w:rPr>
              <w:t xml:space="preserve">.g.) i financijski rashodi u iznosu od </w:t>
            </w:r>
            <w:r w:rsidR="004432C6" w:rsidRPr="00702A1E">
              <w:rPr>
                <w:rFonts w:ascii="Times New Roman" w:hAnsi="Times New Roman" w:cs="Times New Roman"/>
                <w:iCs/>
              </w:rPr>
              <w:t>18.600,00</w:t>
            </w:r>
            <w:r w:rsidRPr="00702A1E">
              <w:rPr>
                <w:rFonts w:ascii="Times New Roman" w:hAnsi="Times New Roman" w:cs="Times New Roman"/>
                <w:iCs/>
              </w:rPr>
              <w:t xml:space="preserve"> € (</w:t>
            </w:r>
            <w:r w:rsidR="004432C6" w:rsidRPr="00702A1E">
              <w:rPr>
                <w:rFonts w:ascii="Times New Roman" w:hAnsi="Times New Roman" w:cs="Times New Roman"/>
                <w:iCs/>
              </w:rPr>
              <w:t>veći za 3,3</w:t>
            </w:r>
            <w:r w:rsidRPr="00702A1E">
              <w:rPr>
                <w:rFonts w:ascii="Times New Roman" w:hAnsi="Times New Roman" w:cs="Times New Roman"/>
                <w:iCs/>
              </w:rPr>
              <w:t xml:space="preserve"> % u odnosu na 202</w:t>
            </w:r>
            <w:r w:rsidR="00960275" w:rsidRPr="00702A1E">
              <w:rPr>
                <w:rFonts w:ascii="Times New Roman" w:hAnsi="Times New Roman" w:cs="Times New Roman"/>
                <w:iCs/>
              </w:rPr>
              <w:t>5</w:t>
            </w:r>
            <w:r w:rsidRPr="00702A1E">
              <w:rPr>
                <w:rFonts w:ascii="Times New Roman" w:hAnsi="Times New Roman" w:cs="Times New Roman"/>
                <w:iCs/>
              </w:rPr>
              <w:t>.g.).</w:t>
            </w:r>
          </w:p>
        </w:tc>
      </w:tr>
      <w:tr w:rsidR="00FA6BF1" w:rsidRPr="00702A1E" w14:paraId="31BF8DEB" w14:textId="77777777" w:rsidTr="003F705E">
        <w:trPr>
          <w:trHeight w:val="257"/>
        </w:trPr>
        <w:tc>
          <w:tcPr>
            <w:tcW w:w="9742"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645" w:type="dxa"/>
              <w:tblLayout w:type="fixed"/>
              <w:tblCellMar>
                <w:left w:w="10" w:type="dxa"/>
                <w:right w:w="10" w:type="dxa"/>
              </w:tblCellMar>
              <w:tblLook w:val="04A0" w:firstRow="1" w:lastRow="0" w:firstColumn="1" w:lastColumn="0" w:noHBand="0" w:noVBand="1"/>
            </w:tblPr>
            <w:tblGrid>
              <w:gridCol w:w="1696"/>
              <w:gridCol w:w="1560"/>
              <w:gridCol w:w="1559"/>
              <w:gridCol w:w="1559"/>
              <w:gridCol w:w="1570"/>
              <w:gridCol w:w="1701"/>
            </w:tblGrid>
            <w:tr w:rsidR="00820E7E" w:rsidRPr="00702A1E" w14:paraId="0CD5E0B5" w14:textId="77777777" w:rsidTr="00487224">
              <w:trPr>
                <w:trHeight w:val="219"/>
              </w:trPr>
              <w:tc>
                <w:tcPr>
                  <w:tcW w:w="169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90F5D1A" w14:textId="423154CC" w:rsidR="00820E7E" w:rsidRPr="00702A1E" w:rsidRDefault="00820E7E" w:rsidP="00820E7E">
                  <w:pPr>
                    <w:pStyle w:val="Standard"/>
                    <w:jc w:val="center"/>
                    <w:rPr>
                      <w:sz w:val="22"/>
                      <w:szCs w:val="22"/>
                    </w:rPr>
                  </w:pPr>
                  <w:r w:rsidRPr="00702A1E">
                    <w:rPr>
                      <w:b/>
                      <w:bCs/>
                      <w:color w:val="000000"/>
                      <w:sz w:val="22"/>
                      <w:szCs w:val="22"/>
                    </w:rPr>
                    <w:t>Izvršeno 2022.</w:t>
                  </w:r>
                </w:p>
              </w:tc>
              <w:tc>
                <w:tcPr>
                  <w:tcW w:w="156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737E2B" w14:textId="20B15BE0" w:rsidR="00820E7E" w:rsidRPr="00702A1E" w:rsidRDefault="00820E7E" w:rsidP="00820E7E">
                  <w:pPr>
                    <w:pStyle w:val="Standard"/>
                    <w:jc w:val="center"/>
                    <w:rPr>
                      <w:sz w:val="22"/>
                      <w:szCs w:val="22"/>
                    </w:rPr>
                  </w:pPr>
                  <w:r>
                    <w:rPr>
                      <w:b/>
                      <w:bCs/>
                      <w:color w:val="000000"/>
                      <w:sz w:val="22"/>
                      <w:szCs w:val="22"/>
                    </w:rPr>
                    <w:t>Financijski plan</w:t>
                  </w:r>
                  <w:r w:rsidRPr="00702A1E">
                    <w:rPr>
                      <w:b/>
                      <w:bCs/>
                      <w:color w:val="000000"/>
                      <w:sz w:val="22"/>
                      <w:szCs w:val="22"/>
                    </w:rPr>
                    <w:t xml:space="preserve"> 2023.</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2BC1BA8" w14:textId="5E51EC84" w:rsidR="00820E7E" w:rsidRPr="00702A1E" w:rsidRDefault="00820E7E" w:rsidP="00820E7E">
                  <w:pPr>
                    <w:pStyle w:val="Standard"/>
                    <w:jc w:val="center"/>
                    <w:rPr>
                      <w:sz w:val="22"/>
                      <w:szCs w:val="22"/>
                    </w:rPr>
                  </w:pPr>
                  <w:r w:rsidRPr="00702A1E">
                    <w:rPr>
                      <w:b/>
                      <w:bCs/>
                      <w:color w:val="000000"/>
                      <w:sz w:val="22"/>
                      <w:szCs w:val="22"/>
                    </w:rPr>
                    <w:t>I</w:t>
                  </w:r>
                  <w:r>
                    <w:rPr>
                      <w:b/>
                      <w:bCs/>
                      <w:color w:val="000000"/>
                      <w:sz w:val="22"/>
                      <w:szCs w:val="22"/>
                    </w:rPr>
                    <w:t>I</w:t>
                  </w:r>
                  <w:r w:rsidRPr="00702A1E">
                    <w:rPr>
                      <w:b/>
                      <w:bCs/>
                      <w:color w:val="000000"/>
                      <w:sz w:val="22"/>
                      <w:szCs w:val="22"/>
                    </w:rPr>
                    <w:t>. Rebalans 2023.€</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57D9C08" w14:textId="1EEBB234" w:rsidR="00820E7E" w:rsidRPr="00702A1E" w:rsidRDefault="00820E7E" w:rsidP="00820E7E">
                  <w:pPr>
                    <w:pStyle w:val="Standard"/>
                    <w:jc w:val="center"/>
                    <w:rPr>
                      <w:sz w:val="22"/>
                      <w:szCs w:val="22"/>
                    </w:rPr>
                  </w:pPr>
                  <w:r w:rsidRPr="00702A1E">
                    <w:rPr>
                      <w:b/>
                      <w:bCs/>
                      <w:color w:val="000000"/>
                      <w:sz w:val="22"/>
                      <w:szCs w:val="22"/>
                    </w:rPr>
                    <w:t>Plan 2024.</w:t>
                  </w:r>
                </w:p>
              </w:tc>
              <w:tc>
                <w:tcPr>
                  <w:tcW w:w="15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ED78187" w14:textId="53202EF6" w:rsidR="00820E7E" w:rsidRPr="00702A1E" w:rsidRDefault="00820E7E" w:rsidP="00820E7E">
                  <w:pPr>
                    <w:pStyle w:val="Standard"/>
                    <w:jc w:val="center"/>
                    <w:rPr>
                      <w:sz w:val="22"/>
                      <w:szCs w:val="22"/>
                    </w:rPr>
                  </w:pPr>
                  <w:r w:rsidRPr="00702A1E">
                    <w:rPr>
                      <w:b/>
                      <w:bCs/>
                      <w:color w:val="000000"/>
                      <w:sz w:val="22"/>
                      <w:szCs w:val="22"/>
                    </w:rPr>
                    <w:t>Projekcija 2025.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C90DF5D" w14:textId="14B66471" w:rsidR="00820E7E" w:rsidRPr="00702A1E" w:rsidRDefault="00820E7E" w:rsidP="00820E7E">
                  <w:pPr>
                    <w:pStyle w:val="Standard"/>
                    <w:jc w:val="center"/>
                    <w:rPr>
                      <w:sz w:val="22"/>
                      <w:szCs w:val="22"/>
                    </w:rPr>
                  </w:pPr>
                  <w:r w:rsidRPr="00702A1E">
                    <w:rPr>
                      <w:b/>
                      <w:bCs/>
                      <w:color w:val="000000"/>
                      <w:sz w:val="22"/>
                      <w:szCs w:val="22"/>
                    </w:rPr>
                    <w:t>Projekcija 2026.</w:t>
                  </w:r>
                </w:p>
              </w:tc>
            </w:tr>
            <w:tr w:rsidR="00820E7E" w:rsidRPr="00702A1E" w14:paraId="64696E47" w14:textId="77777777" w:rsidTr="00487224">
              <w:trPr>
                <w:trHeight w:val="722"/>
              </w:trPr>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E0B52" w14:textId="77777777" w:rsidR="00820E7E" w:rsidRPr="00487224" w:rsidRDefault="00820E7E" w:rsidP="00820E7E">
                  <w:pPr>
                    <w:pStyle w:val="Standard"/>
                    <w:jc w:val="right"/>
                    <w:rPr>
                      <w:b/>
                      <w:bCs/>
                      <w:sz w:val="20"/>
                      <w:szCs w:val="20"/>
                    </w:rPr>
                  </w:pPr>
                </w:p>
                <w:p w14:paraId="041A4537" w14:textId="4074CE38" w:rsidR="00820E7E" w:rsidRPr="00487224" w:rsidRDefault="00820E7E" w:rsidP="00820E7E">
                  <w:pPr>
                    <w:pStyle w:val="Standard"/>
                    <w:jc w:val="right"/>
                    <w:rPr>
                      <w:b/>
                      <w:bCs/>
                      <w:sz w:val="20"/>
                      <w:szCs w:val="20"/>
                    </w:rPr>
                  </w:pPr>
                  <w:r w:rsidRPr="00487224">
                    <w:rPr>
                      <w:b/>
                      <w:bCs/>
                      <w:sz w:val="20"/>
                      <w:szCs w:val="20"/>
                    </w:rPr>
                    <w:t>15.948.084,00 €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A11E7" w14:textId="77777777" w:rsidR="00820E7E" w:rsidRPr="00487224" w:rsidRDefault="00820E7E" w:rsidP="00820E7E">
                  <w:pPr>
                    <w:pStyle w:val="Standard"/>
                    <w:jc w:val="right"/>
                    <w:rPr>
                      <w:b/>
                      <w:bCs/>
                      <w:sz w:val="20"/>
                      <w:szCs w:val="20"/>
                    </w:rPr>
                  </w:pPr>
                </w:p>
                <w:p w14:paraId="7EDE1110" w14:textId="1B69E5FF" w:rsidR="00820E7E" w:rsidRPr="00487224" w:rsidRDefault="00820E7E" w:rsidP="00487224">
                  <w:pPr>
                    <w:pStyle w:val="Standard"/>
                    <w:rPr>
                      <w:b/>
                      <w:bCs/>
                      <w:sz w:val="20"/>
                      <w:szCs w:val="20"/>
                    </w:rPr>
                  </w:pPr>
                  <w:r w:rsidRPr="00487224">
                    <w:rPr>
                      <w:b/>
                      <w:bCs/>
                      <w:sz w:val="20"/>
                      <w:szCs w:val="20"/>
                    </w:rPr>
                    <w:t>16.389.220,66</w:t>
                  </w:r>
                  <w:r w:rsidR="00487224" w:rsidRPr="00487224">
                    <w:rPr>
                      <w:b/>
                      <w:bCs/>
                      <w:sz w:val="20"/>
                      <w:szCs w:val="20"/>
                    </w:rPr>
                    <w:t xml:space="preserve"> </w:t>
                  </w:r>
                  <w:r w:rsidRPr="00487224">
                    <w:rPr>
                      <w:b/>
                      <w:bCs/>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410A6" w14:textId="77777777" w:rsidR="00820E7E" w:rsidRPr="00487224" w:rsidRDefault="00820E7E" w:rsidP="00820E7E">
                  <w:pPr>
                    <w:pStyle w:val="Standard"/>
                    <w:jc w:val="right"/>
                    <w:rPr>
                      <w:b/>
                      <w:bCs/>
                      <w:sz w:val="20"/>
                      <w:szCs w:val="20"/>
                    </w:rPr>
                  </w:pPr>
                </w:p>
                <w:p w14:paraId="28419AF5" w14:textId="0198294E" w:rsidR="00820E7E" w:rsidRPr="00487224" w:rsidRDefault="00487224" w:rsidP="00820E7E">
                  <w:pPr>
                    <w:pStyle w:val="Standard"/>
                    <w:jc w:val="right"/>
                    <w:rPr>
                      <w:b/>
                      <w:bCs/>
                      <w:sz w:val="20"/>
                      <w:szCs w:val="20"/>
                    </w:rPr>
                  </w:pPr>
                  <w:r w:rsidRPr="00487224">
                    <w:rPr>
                      <w:b/>
                      <w:bCs/>
                      <w:sz w:val="20"/>
                      <w:szCs w:val="20"/>
                    </w:rPr>
                    <w:t xml:space="preserve">18.422.226,78 </w:t>
                  </w:r>
                  <w:r w:rsidR="00820E7E" w:rsidRPr="00487224">
                    <w:rPr>
                      <w:b/>
                      <w:bCs/>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8DAA92" w14:textId="77777777" w:rsidR="00820E7E" w:rsidRPr="00487224" w:rsidRDefault="00820E7E" w:rsidP="00820E7E">
                  <w:pPr>
                    <w:pStyle w:val="Standard"/>
                    <w:jc w:val="right"/>
                    <w:rPr>
                      <w:b/>
                      <w:bCs/>
                      <w:sz w:val="20"/>
                      <w:szCs w:val="20"/>
                    </w:rPr>
                  </w:pPr>
                </w:p>
                <w:p w14:paraId="77E2847D" w14:textId="6CDD5187" w:rsidR="00820E7E" w:rsidRPr="00487224" w:rsidRDefault="00820E7E" w:rsidP="00820E7E">
                  <w:pPr>
                    <w:pStyle w:val="Standard"/>
                    <w:jc w:val="right"/>
                    <w:rPr>
                      <w:b/>
                      <w:bCs/>
                      <w:sz w:val="20"/>
                      <w:szCs w:val="20"/>
                    </w:rPr>
                  </w:pPr>
                  <w:r w:rsidRPr="00487224">
                    <w:rPr>
                      <w:b/>
                      <w:bCs/>
                      <w:sz w:val="20"/>
                      <w:szCs w:val="20"/>
                    </w:rPr>
                    <w:t>20.069.600,00 €</w:t>
                  </w:r>
                </w:p>
              </w:tc>
              <w:tc>
                <w:tcPr>
                  <w:tcW w:w="1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ADC097" w14:textId="77777777" w:rsidR="00820E7E" w:rsidRPr="00487224" w:rsidRDefault="00820E7E" w:rsidP="00820E7E">
                  <w:pPr>
                    <w:pStyle w:val="Standard"/>
                    <w:jc w:val="right"/>
                    <w:rPr>
                      <w:b/>
                      <w:bCs/>
                      <w:sz w:val="20"/>
                      <w:szCs w:val="20"/>
                    </w:rPr>
                  </w:pPr>
                </w:p>
                <w:p w14:paraId="4801A74C" w14:textId="7196C26D" w:rsidR="00820E7E" w:rsidRPr="00487224" w:rsidRDefault="00820E7E" w:rsidP="00820E7E">
                  <w:pPr>
                    <w:pStyle w:val="Standard"/>
                    <w:jc w:val="right"/>
                    <w:rPr>
                      <w:b/>
                      <w:bCs/>
                      <w:sz w:val="20"/>
                      <w:szCs w:val="20"/>
                    </w:rPr>
                  </w:pPr>
                  <w:r w:rsidRPr="00487224">
                    <w:rPr>
                      <w:b/>
                      <w:bCs/>
                      <w:sz w:val="20"/>
                      <w:szCs w:val="20"/>
                    </w:rPr>
                    <w:t>19.979.500,00 €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058697" w14:textId="77777777" w:rsidR="00820E7E" w:rsidRPr="00487224" w:rsidRDefault="00820E7E" w:rsidP="00820E7E">
                  <w:pPr>
                    <w:pStyle w:val="Standard"/>
                    <w:jc w:val="right"/>
                    <w:rPr>
                      <w:b/>
                      <w:bCs/>
                      <w:sz w:val="20"/>
                      <w:szCs w:val="20"/>
                    </w:rPr>
                  </w:pPr>
                </w:p>
                <w:p w14:paraId="027BDA11" w14:textId="5C3EC482" w:rsidR="00820E7E" w:rsidRPr="00487224" w:rsidRDefault="00820E7E" w:rsidP="00820E7E">
                  <w:pPr>
                    <w:pStyle w:val="Standard"/>
                    <w:jc w:val="right"/>
                    <w:rPr>
                      <w:b/>
                      <w:bCs/>
                      <w:sz w:val="20"/>
                      <w:szCs w:val="20"/>
                    </w:rPr>
                  </w:pPr>
                  <w:r w:rsidRPr="00487224">
                    <w:rPr>
                      <w:b/>
                      <w:bCs/>
                      <w:sz w:val="20"/>
                      <w:szCs w:val="20"/>
                    </w:rPr>
                    <w:t>20.168.700,00 €</w:t>
                  </w:r>
                </w:p>
              </w:tc>
            </w:tr>
          </w:tbl>
          <w:p w14:paraId="3BB88B2A" w14:textId="77777777" w:rsidR="00FA6BF1" w:rsidRPr="00702A1E" w:rsidRDefault="00FA6BF1">
            <w:pPr>
              <w:pStyle w:val="Standard"/>
              <w:rPr>
                <w:bCs/>
                <w:color w:val="000000"/>
                <w:sz w:val="22"/>
                <w:szCs w:val="22"/>
              </w:rPr>
            </w:pPr>
          </w:p>
        </w:tc>
      </w:tr>
      <w:tr w:rsidR="00FA6BF1" w:rsidRPr="00702A1E" w14:paraId="19DD30F8" w14:textId="77777777" w:rsidTr="00702A1E">
        <w:trPr>
          <w:trHeight w:val="25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B44B09" w14:textId="6D844D2D" w:rsidR="00FA6BF1" w:rsidRPr="00702A1E" w:rsidRDefault="00091387">
            <w:pPr>
              <w:pStyle w:val="Standard"/>
              <w:rPr>
                <w:sz w:val="22"/>
                <w:szCs w:val="22"/>
              </w:rPr>
            </w:pPr>
            <w:r w:rsidRPr="00702A1E">
              <w:rPr>
                <w:b/>
                <w:color w:val="000000"/>
                <w:sz w:val="22"/>
                <w:szCs w:val="22"/>
              </w:rPr>
              <w:t>Obrazloženja odstupanja od projekcija za 202</w:t>
            </w:r>
            <w:r w:rsidR="00320521" w:rsidRPr="00702A1E">
              <w:rPr>
                <w:b/>
                <w:color w:val="000000"/>
                <w:sz w:val="22"/>
                <w:szCs w:val="22"/>
              </w:rPr>
              <w:t>4</w:t>
            </w:r>
            <w:r w:rsidRPr="00702A1E">
              <w:rPr>
                <w:b/>
                <w:color w:val="000000"/>
                <w:sz w:val="22"/>
                <w:szCs w:val="22"/>
              </w:rPr>
              <w:t>. i 202</w:t>
            </w:r>
            <w:r w:rsidR="00320521" w:rsidRPr="00702A1E">
              <w:rPr>
                <w:b/>
                <w:color w:val="000000"/>
                <w:sz w:val="22"/>
                <w:szCs w:val="22"/>
              </w:rPr>
              <w:t>5</w:t>
            </w:r>
            <w:r w:rsidRPr="00702A1E">
              <w:rPr>
                <w:b/>
                <w:color w:val="000000"/>
                <w:sz w:val="22"/>
                <w:szCs w:val="22"/>
              </w:rPr>
              <w:t>. usvojenih u prošlogodišnjem Proračunu</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AF69DE" w14:textId="77777777" w:rsidR="00FA6BF1" w:rsidRPr="00702A1E" w:rsidRDefault="00FA6BF1" w:rsidP="00C97AA2">
            <w:pPr>
              <w:pStyle w:val="Standard"/>
              <w:rPr>
                <w:iCs/>
                <w:sz w:val="22"/>
                <w:szCs w:val="22"/>
              </w:rPr>
            </w:pPr>
          </w:p>
          <w:p w14:paraId="237D3C12" w14:textId="50C18047" w:rsidR="00FA6BF1" w:rsidRPr="00702A1E" w:rsidRDefault="00091387" w:rsidP="00C97AA2">
            <w:pPr>
              <w:pStyle w:val="Standard"/>
              <w:jc w:val="both"/>
              <w:rPr>
                <w:iCs/>
                <w:sz w:val="22"/>
                <w:szCs w:val="22"/>
              </w:rPr>
            </w:pPr>
            <w:r w:rsidRPr="00702A1E">
              <w:rPr>
                <w:iCs/>
                <w:sz w:val="22"/>
                <w:szCs w:val="22"/>
              </w:rPr>
              <w:t>U odnosu na prošlogodišnje projekcije ova aktivnost je povećana i to u 202</w:t>
            </w:r>
            <w:r w:rsidR="00D8325A" w:rsidRPr="00702A1E">
              <w:rPr>
                <w:iCs/>
                <w:sz w:val="22"/>
                <w:szCs w:val="22"/>
              </w:rPr>
              <w:t>4</w:t>
            </w:r>
            <w:r w:rsidRPr="00702A1E">
              <w:rPr>
                <w:iCs/>
                <w:sz w:val="22"/>
                <w:szCs w:val="22"/>
              </w:rPr>
              <w:t xml:space="preserve">.g. za </w:t>
            </w:r>
            <w:r w:rsidR="00D8325A" w:rsidRPr="00702A1E">
              <w:rPr>
                <w:iCs/>
                <w:sz w:val="22"/>
                <w:szCs w:val="22"/>
              </w:rPr>
              <w:t>21,3</w:t>
            </w:r>
            <w:r w:rsidRPr="00702A1E">
              <w:rPr>
                <w:iCs/>
                <w:sz w:val="22"/>
                <w:szCs w:val="22"/>
              </w:rPr>
              <w:t xml:space="preserve"> %, a u 202</w:t>
            </w:r>
            <w:r w:rsidR="00D8325A" w:rsidRPr="00702A1E">
              <w:rPr>
                <w:iCs/>
                <w:sz w:val="22"/>
                <w:szCs w:val="22"/>
              </w:rPr>
              <w:t>5</w:t>
            </w:r>
            <w:r w:rsidRPr="00702A1E">
              <w:rPr>
                <w:iCs/>
                <w:sz w:val="22"/>
                <w:szCs w:val="22"/>
              </w:rPr>
              <w:t xml:space="preserve">.g.  za </w:t>
            </w:r>
            <w:r w:rsidR="00D8325A" w:rsidRPr="00702A1E">
              <w:rPr>
                <w:iCs/>
                <w:sz w:val="22"/>
                <w:szCs w:val="22"/>
              </w:rPr>
              <w:t>19,6</w:t>
            </w:r>
            <w:r w:rsidRPr="00702A1E">
              <w:rPr>
                <w:iCs/>
                <w:sz w:val="22"/>
                <w:szCs w:val="22"/>
              </w:rPr>
              <w:t xml:space="preserve"> %. Razlog povećanj</w:t>
            </w:r>
            <w:r w:rsidR="008E7AB2" w:rsidRPr="00702A1E">
              <w:rPr>
                <w:iCs/>
                <w:sz w:val="22"/>
                <w:szCs w:val="22"/>
              </w:rPr>
              <w:t>a</w:t>
            </w:r>
            <w:r w:rsidRPr="00702A1E">
              <w:rPr>
                <w:iCs/>
                <w:sz w:val="22"/>
                <w:szCs w:val="22"/>
              </w:rPr>
              <w:t xml:space="preserve"> je u većoj osnovici </w:t>
            </w:r>
            <w:r w:rsidR="00D8325A" w:rsidRPr="00702A1E">
              <w:rPr>
                <w:iCs/>
                <w:sz w:val="22"/>
                <w:szCs w:val="22"/>
              </w:rPr>
              <w:t xml:space="preserve">i koeficijentima za obračun plaća, promjenama u načinu obračuna dodatka za rad nedjeljom (rad nedjeljom s 35 % povećan na 50%) te u uvođenju privremenog dodatka na plaću što je sveukupno </w:t>
            </w:r>
            <w:r w:rsidRPr="00702A1E">
              <w:rPr>
                <w:iCs/>
                <w:sz w:val="22"/>
                <w:szCs w:val="22"/>
              </w:rPr>
              <w:t>utjeca</w:t>
            </w:r>
            <w:r w:rsidR="00D8325A" w:rsidRPr="00702A1E">
              <w:rPr>
                <w:iCs/>
                <w:sz w:val="22"/>
                <w:szCs w:val="22"/>
              </w:rPr>
              <w:t>l</w:t>
            </w:r>
            <w:r w:rsidRPr="00702A1E">
              <w:rPr>
                <w:iCs/>
                <w:sz w:val="22"/>
                <w:szCs w:val="22"/>
              </w:rPr>
              <w:t xml:space="preserve">o na porast rashoda za zaposlene </w:t>
            </w:r>
            <w:r w:rsidR="00D8325A" w:rsidRPr="00702A1E">
              <w:rPr>
                <w:iCs/>
                <w:sz w:val="22"/>
                <w:szCs w:val="22"/>
              </w:rPr>
              <w:t>kao i</w:t>
            </w:r>
            <w:r w:rsidRPr="00702A1E">
              <w:rPr>
                <w:iCs/>
                <w:sz w:val="22"/>
                <w:szCs w:val="22"/>
              </w:rPr>
              <w:t xml:space="preserve"> stop</w:t>
            </w:r>
            <w:r w:rsidR="00D8325A" w:rsidRPr="00702A1E">
              <w:rPr>
                <w:iCs/>
                <w:sz w:val="22"/>
                <w:szCs w:val="22"/>
              </w:rPr>
              <w:t>a</w:t>
            </w:r>
            <w:r w:rsidRPr="00702A1E">
              <w:rPr>
                <w:iCs/>
                <w:sz w:val="22"/>
                <w:szCs w:val="22"/>
              </w:rPr>
              <w:t xml:space="preserve"> inflacije koja je povećala ostale rashode</w:t>
            </w:r>
            <w:r w:rsidR="00D8325A" w:rsidRPr="00702A1E">
              <w:rPr>
                <w:iCs/>
                <w:sz w:val="22"/>
                <w:szCs w:val="22"/>
              </w:rPr>
              <w:t>.</w:t>
            </w:r>
          </w:p>
          <w:p w14:paraId="167650E3" w14:textId="77777777" w:rsidR="00FA6BF1" w:rsidRPr="00702A1E" w:rsidRDefault="00FA6BF1" w:rsidP="00C97AA2">
            <w:pPr>
              <w:pStyle w:val="Standard"/>
              <w:jc w:val="both"/>
              <w:rPr>
                <w:iCs/>
                <w:sz w:val="22"/>
                <w:szCs w:val="22"/>
              </w:rPr>
            </w:pPr>
          </w:p>
          <w:p w14:paraId="5409DFD8" w14:textId="77777777" w:rsidR="00FA6BF1" w:rsidRPr="00702A1E" w:rsidRDefault="00091387" w:rsidP="00C97AA2">
            <w:pPr>
              <w:pStyle w:val="Standard"/>
              <w:jc w:val="both"/>
              <w:rPr>
                <w:sz w:val="22"/>
                <w:szCs w:val="22"/>
              </w:rPr>
            </w:pPr>
            <w:r w:rsidRPr="00702A1E">
              <w:rPr>
                <w:iCs/>
                <w:sz w:val="22"/>
                <w:szCs w:val="22"/>
              </w:rPr>
              <w:t xml:space="preserve"> </w:t>
            </w:r>
          </w:p>
        </w:tc>
      </w:tr>
    </w:tbl>
    <w:p w14:paraId="55AC6938" w14:textId="77777777" w:rsidR="00FA6BF1" w:rsidRPr="00702A1E" w:rsidRDefault="00FA6BF1">
      <w:pPr>
        <w:pStyle w:val="Standard"/>
        <w:rPr>
          <w:color w:val="FF0000"/>
          <w:sz w:val="22"/>
          <w:szCs w:val="22"/>
        </w:rPr>
      </w:pPr>
    </w:p>
    <w:p w14:paraId="524D5BFD" w14:textId="77777777" w:rsidR="00FA6BF1" w:rsidRPr="00702A1E" w:rsidRDefault="00FA6BF1">
      <w:pPr>
        <w:pStyle w:val="Standard"/>
        <w:rPr>
          <w:color w:val="FF0000"/>
          <w:sz w:val="22"/>
          <w:szCs w:val="22"/>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126"/>
        <w:gridCol w:w="993"/>
        <w:gridCol w:w="1135"/>
        <w:gridCol w:w="1133"/>
        <w:gridCol w:w="1230"/>
        <w:gridCol w:w="1269"/>
        <w:gridCol w:w="1270"/>
      </w:tblGrid>
      <w:tr w:rsidR="00FA6BF1" w:rsidRPr="00702A1E" w14:paraId="76BB9D15" w14:textId="77777777" w:rsidTr="00702A1E">
        <w:trPr>
          <w:trHeight w:val="651"/>
        </w:trPr>
        <w:tc>
          <w:tcPr>
            <w:tcW w:w="1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CCEE028" w14:textId="77777777" w:rsidR="00FA6BF1" w:rsidRPr="00702A1E" w:rsidRDefault="00091387">
            <w:pPr>
              <w:pStyle w:val="Standard"/>
              <w:rPr>
                <w:sz w:val="22"/>
                <w:szCs w:val="22"/>
              </w:rPr>
            </w:pPr>
            <w:r w:rsidRPr="00702A1E">
              <w:rPr>
                <w:b/>
                <w:sz w:val="22"/>
                <w:szCs w:val="22"/>
              </w:rPr>
              <w:lastRenderedPageBreak/>
              <w:t>Pokazatelj rezultata</w:t>
            </w:r>
          </w:p>
        </w:tc>
        <w:tc>
          <w:tcPr>
            <w:tcW w:w="112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7A6A46" w14:textId="77777777" w:rsidR="00FA6BF1" w:rsidRPr="00702A1E" w:rsidRDefault="00091387">
            <w:pPr>
              <w:pStyle w:val="Standard"/>
              <w:jc w:val="center"/>
              <w:rPr>
                <w:sz w:val="20"/>
                <w:szCs w:val="20"/>
              </w:rPr>
            </w:pPr>
            <w:r w:rsidRPr="00702A1E">
              <w:rPr>
                <w:b/>
                <w:sz w:val="20"/>
                <w:szCs w:val="20"/>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E4BD021" w14:textId="77777777" w:rsidR="00FA6BF1" w:rsidRPr="00702A1E" w:rsidRDefault="00091387">
            <w:pPr>
              <w:pStyle w:val="Standard"/>
              <w:jc w:val="center"/>
              <w:rPr>
                <w:sz w:val="20"/>
                <w:szCs w:val="20"/>
              </w:rPr>
            </w:pPr>
            <w:r w:rsidRPr="00702A1E">
              <w:rPr>
                <w:b/>
                <w:sz w:val="20"/>
                <w:szCs w:val="20"/>
              </w:rPr>
              <w:t>Jedinica</w:t>
            </w:r>
          </w:p>
        </w:tc>
        <w:tc>
          <w:tcPr>
            <w:tcW w:w="11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7C4D84" w14:textId="3EAF1CE5" w:rsidR="00FA6BF1" w:rsidRPr="00702A1E" w:rsidRDefault="00091387">
            <w:pPr>
              <w:pStyle w:val="Standard"/>
              <w:jc w:val="center"/>
              <w:rPr>
                <w:sz w:val="22"/>
                <w:szCs w:val="22"/>
              </w:rPr>
            </w:pPr>
            <w:r w:rsidRPr="00702A1E">
              <w:rPr>
                <w:b/>
                <w:sz w:val="22"/>
                <w:szCs w:val="22"/>
              </w:rPr>
              <w:t>Polazna vrijednost 202</w:t>
            </w:r>
            <w:r w:rsidR="00E76181" w:rsidRPr="00702A1E">
              <w:rPr>
                <w:b/>
                <w:sz w:val="22"/>
                <w:szCs w:val="22"/>
              </w:rPr>
              <w:t>3</w:t>
            </w:r>
            <w:r w:rsidRPr="00702A1E">
              <w:rPr>
                <w:b/>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4B69E65" w14:textId="77777777" w:rsidR="00FA6BF1" w:rsidRPr="00702A1E" w:rsidRDefault="00091387">
            <w:pPr>
              <w:pStyle w:val="Standard"/>
              <w:jc w:val="center"/>
              <w:rPr>
                <w:sz w:val="22"/>
                <w:szCs w:val="22"/>
              </w:rPr>
            </w:pPr>
            <w:r w:rsidRPr="00702A1E">
              <w:rPr>
                <w:b/>
                <w:sz w:val="22"/>
                <w:szCs w:val="22"/>
              </w:rPr>
              <w:t>Izvor podataka</w:t>
            </w:r>
          </w:p>
        </w:tc>
        <w:tc>
          <w:tcPr>
            <w:tcW w:w="12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CE72935" w14:textId="5C7F9950"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4</w:t>
            </w:r>
            <w:r w:rsidRPr="00702A1E">
              <w:rPr>
                <w:b/>
                <w:sz w:val="22"/>
                <w:szCs w:val="22"/>
              </w:rPr>
              <w:t>.</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24D002" w14:textId="2036D668"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5</w:t>
            </w:r>
            <w:r w:rsidRPr="00702A1E">
              <w:rPr>
                <w:b/>
                <w:sz w:val="22"/>
                <w:szCs w:val="22"/>
              </w:rPr>
              <w:t>.</w:t>
            </w:r>
          </w:p>
        </w:tc>
        <w:tc>
          <w:tcPr>
            <w:tcW w:w="12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E4CE35F" w14:textId="1D6C6508"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6</w:t>
            </w:r>
            <w:r w:rsidRPr="00702A1E">
              <w:rPr>
                <w:b/>
                <w:sz w:val="22"/>
                <w:szCs w:val="22"/>
              </w:rPr>
              <w:t>.</w:t>
            </w:r>
          </w:p>
        </w:tc>
      </w:tr>
      <w:tr w:rsidR="00FA6BF1" w:rsidRPr="00702A1E" w14:paraId="024BB60B" w14:textId="77777777" w:rsidTr="00702A1E">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862C36" w14:textId="77777777" w:rsidR="00FA6BF1" w:rsidRPr="00702A1E" w:rsidRDefault="00091387">
            <w:pPr>
              <w:pStyle w:val="Standard"/>
              <w:rPr>
                <w:sz w:val="22"/>
                <w:szCs w:val="22"/>
              </w:rPr>
            </w:pPr>
            <w:r w:rsidRPr="00702A1E">
              <w:rPr>
                <w:sz w:val="22"/>
                <w:szCs w:val="22"/>
              </w:rPr>
              <w:t xml:space="preserve">Povećan broj pruženih zdravstvenih usluga po pacijentu </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5AD794" w14:textId="77777777" w:rsidR="00FA6BF1" w:rsidRPr="00702A1E" w:rsidRDefault="00091387">
            <w:pPr>
              <w:pStyle w:val="Standard"/>
              <w:rPr>
                <w:sz w:val="22"/>
                <w:szCs w:val="22"/>
              </w:rPr>
            </w:pPr>
            <w:r w:rsidRPr="00702A1E">
              <w:rPr>
                <w:sz w:val="22"/>
                <w:szCs w:val="22"/>
              </w:rPr>
              <w:t>Povećan broj pruženih usluga po pacijentu ukazuje na veću kvalitetu zdravstvene usluge pružene pacijentu</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0D18F1" w14:textId="77777777" w:rsidR="00FA6BF1" w:rsidRPr="00702A1E" w:rsidRDefault="00091387">
            <w:pPr>
              <w:pStyle w:val="Standard"/>
              <w:rPr>
                <w:sz w:val="22"/>
                <w:szCs w:val="22"/>
              </w:rPr>
            </w:pPr>
            <w:r w:rsidRPr="00702A1E">
              <w:rPr>
                <w:sz w:val="22"/>
                <w:szCs w:val="22"/>
              </w:rPr>
              <w:t>Broj usluga (postupaka) po pacijentu</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8296AA" w14:textId="77777777" w:rsidR="00FA6BF1" w:rsidRPr="00702A1E" w:rsidRDefault="00091387" w:rsidP="00702A1E">
            <w:pPr>
              <w:pStyle w:val="Standard"/>
              <w:jc w:val="center"/>
              <w:rPr>
                <w:sz w:val="22"/>
                <w:szCs w:val="22"/>
              </w:rPr>
            </w:pPr>
            <w:r w:rsidRPr="00702A1E">
              <w:rPr>
                <w:sz w:val="22"/>
                <w:szCs w:val="22"/>
              </w:rPr>
              <w:t>4,8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ACBAD" w14:textId="4A1834D7" w:rsidR="00FA6BF1" w:rsidRPr="00702A1E" w:rsidRDefault="00091387" w:rsidP="00702A1E">
            <w:pPr>
              <w:pStyle w:val="Standard"/>
              <w:jc w:val="center"/>
              <w:rPr>
                <w:sz w:val="22"/>
                <w:szCs w:val="22"/>
              </w:rPr>
            </w:pPr>
            <w:r w:rsidRPr="00702A1E">
              <w:rPr>
                <w:sz w:val="22"/>
                <w:szCs w:val="22"/>
              </w:rPr>
              <w:t>Z</w:t>
            </w:r>
            <w:r w:rsidR="00A43490" w:rsidRPr="00702A1E">
              <w:rPr>
                <w:sz w:val="22"/>
                <w:szCs w:val="22"/>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C49678" w14:textId="77777777" w:rsidR="00FA6BF1" w:rsidRPr="00702A1E" w:rsidRDefault="00091387" w:rsidP="00702A1E">
            <w:pPr>
              <w:pStyle w:val="Standard"/>
              <w:jc w:val="center"/>
              <w:rPr>
                <w:sz w:val="22"/>
                <w:szCs w:val="22"/>
              </w:rPr>
            </w:pPr>
            <w:r w:rsidRPr="00702A1E">
              <w:rPr>
                <w:sz w:val="22"/>
                <w:szCs w:val="22"/>
              </w:rPr>
              <w:t>4,9</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D65A4" w14:textId="77777777" w:rsidR="00FA6BF1" w:rsidRPr="00702A1E" w:rsidRDefault="00091387" w:rsidP="00702A1E">
            <w:pPr>
              <w:pStyle w:val="Standard"/>
              <w:jc w:val="center"/>
              <w:rPr>
                <w:sz w:val="22"/>
                <w:szCs w:val="22"/>
              </w:rPr>
            </w:pPr>
            <w:r w:rsidRPr="00702A1E">
              <w:rPr>
                <w:sz w:val="22"/>
                <w:szCs w:val="22"/>
              </w:rPr>
              <w:t>5,0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C11B91" w14:textId="77777777" w:rsidR="00FA6BF1" w:rsidRPr="00702A1E" w:rsidRDefault="00091387" w:rsidP="00702A1E">
            <w:pPr>
              <w:pStyle w:val="Standard"/>
              <w:jc w:val="center"/>
              <w:rPr>
                <w:sz w:val="22"/>
                <w:szCs w:val="22"/>
              </w:rPr>
            </w:pPr>
            <w:r w:rsidRPr="00702A1E">
              <w:rPr>
                <w:sz w:val="22"/>
                <w:szCs w:val="22"/>
              </w:rPr>
              <w:t>5,1</w:t>
            </w:r>
          </w:p>
          <w:p w14:paraId="0E4B8576" w14:textId="77777777" w:rsidR="00FA6BF1" w:rsidRPr="00702A1E" w:rsidRDefault="00FA6BF1" w:rsidP="00702A1E">
            <w:pPr>
              <w:pStyle w:val="Standard"/>
              <w:jc w:val="center"/>
              <w:rPr>
                <w:sz w:val="22"/>
                <w:szCs w:val="22"/>
              </w:rPr>
            </w:pPr>
          </w:p>
        </w:tc>
      </w:tr>
      <w:tr w:rsidR="00FA6BF1" w:rsidRPr="00702A1E" w14:paraId="4068E5C9" w14:textId="77777777" w:rsidTr="00702A1E">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9383FC" w14:textId="77777777" w:rsidR="00FA6BF1" w:rsidRPr="00702A1E" w:rsidRDefault="00091387">
            <w:pPr>
              <w:pStyle w:val="Standard"/>
              <w:rPr>
                <w:sz w:val="22"/>
                <w:szCs w:val="22"/>
              </w:rPr>
            </w:pPr>
            <w:r w:rsidRPr="00702A1E">
              <w:rPr>
                <w:sz w:val="22"/>
                <w:szCs w:val="22"/>
              </w:rPr>
              <w:t>Povećan broj prijeđenih kilometara</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3B3909" w14:textId="77777777" w:rsidR="00FA6BF1" w:rsidRPr="00702A1E" w:rsidRDefault="00091387">
            <w:pPr>
              <w:pStyle w:val="Standard"/>
              <w:rPr>
                <w:sz w:val="22"/>
                <w:szCs w:val="22"/>
              </w:rPr>
            </w:pPr>
            <w:r w:rsidRPr="00702A1E">
              <w:rPr>
                <w:sz w:val="22"/>
                <w:szCs w:val="22"/>
              </w:rPr>
              <w:t>Povećan broj prijeđenih kilometara ukazuje na dostupnost zdravstvene skrbi pacijentima na području SDŽ i Republike Hrvatske</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7DA9E" w14:textId="77777777" w:rsidR="00FA6BF1" w:rsidRPr="00702A1E" w:rsidRDefault="00091387">
            <w:pPr>
              <w:pStyle w:val="Standard"/>
              <w:rPr>
                <w:sz w:val="22"/>
                <w:szCs w:val="22"/>
              </w:rPr>
            </w:pPr>
            <w:r w:rsidRPr="00702A1E">
              <w:rPr>
                <w:sz w:val="22"/>
                <w:szCs w:val="22"/>
              </w:rPr>
              <w:t>Broj prijeđenih kilometara</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5AE31F" w14:textId="028F4D12" w:rsidR="00FA6BF1" w:rsidRPr="00702A1E" w:rsidRDefault="00E76181">
            <w:pPr>
              <w:pStyle w:val="Standard"/>
              <w:rPr>
                <w:sz w:val="22"/>
                <w:szCs w:val="22"/>
              </w:rPr>
            </w:pPr>
            <w:r w:rsidRPr="00702A1E">
              <w:rPr>
                <w:sz w:val="22"/>
                <w:szCs w:val="22"/>
              </w:rPr>
              <w:t>3.750</w:t>
            </w:r>
            <w:r w:rsidR="00091387" w:rsidRPr="00702A1E">
              <w:rPr>
                <w:sz w:val="22"/>
                <w:szCs w:val="22"/>
              </w:rPr>
              <w:t>.000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C802B0" w14:textId="5D38FB48" w:rsidR="00FA6BF1" w:rsidRPr="00702A1E" w:rsidRDefault="00091387">
            <w:pPr>
              <w:pStyle w:val="Standard"/>
              <w:rPr>
                <w:sz w:val="22"/>
                <w:szCs w:val="22"/>
              </w:rPr>
            </w:pPr>
            <w:r w:rsidRPr="00702A1E">
              <w:rPr>
                <w:sz w:val="22"/>
                <w:szCs w:val="22"/>
              </w:rPr>
              <w:t>Z</w:t>
            </w:r>
            <w:r w:rsidR="00A43490" w:rsidRPr="00702A1E">
              <w:rPr>
                <w:sz w:val="22"/>
                <w:szCs w:val="22"/>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1BFF63" w14:textId="331485EC" w:rsidR="00FA6BF1" w:rsidRPr="00702A1E" w:rsidRDefault="00E76181">
            <w:pPr>
              <w:pStyle w:val="Standard"/>
              <w:rPr>
                <w:sz w:val="22"/>
                <w:szCs w:val="22"/>
              </w:rPr>
            </w:pPr>
            <w:r w:rsidRPr="00702A1E">
              <w:rPr>
                <w:sz w:val="22"/>
                <w:szCs w:val="22"/>
              </w:rPr>
              <w:t>3.760.000</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176EC" w14:textId="79DC29B4" w:rsidR="00FA6BF1" w:rsidRPr="00702A1E" w:rsidRDefault="00E76181">
            <w:pPr>
              <w:pStyle w:val="Standard"/>
              <w:rPr>
                <w:sz w:val="22"/>
                <w:szCs w:val="22"/>
              </w:rPr>
            </w:pPr>
            <w:r w:rsidRPr="00702A1E">
              <w:rPr>
                <w:sz w:val="22"/>
                <w:szCs w:val="22"/>
              </w:rPr>
              <w:t>3.770.000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DBFC40" w14:textId="44B1B335" w:rsidR="00FA6BF1" w:rsidRPr="00702A1E" w:rsidRDefault="00E76181">
            <w:pPr>
              <w:pStyle w:val="Standard"/>
              <w:rPr>
                <w:sz w:val="22"/>
                <w:szCs w:val="22"/>
              </w:rPr>
            </w:pPr>
            <w:r w:rsidRPr="00702A1E">
              <w:rPr>
                <w:sz w:val="22"/>
                <w:szCs w:val="22"/>
              </w:rPr>
              <w:t>3.780.000</w:t>
            </w:r>
          </w:p>
        </w:tc>
      </w:tr>
    </w:tbl>
    <w:p w14:paraId="13443540" w14:textId="7231A7C0" w:rsidR="00FA6BF1" w:rsidRPr="00702A1E" w:rsidRDefault="00FA6BF1">
      <w:pPr>
        <w:pStyle w:val="Standard"/>
        <w:rPr>
          <w:color w:val="FF0000"/>
          <w:sz w:val="22"/>
          <w:szCs w:val="22"/>
        </w:rPr>
      </w:pPr>
    </w:p>
    <w:p w14:paraId="75FD688F" w14:textId="77777777" w:rsidR="007C6F2E" w:rsidRPr="00702A1E" w:rsidRDefault="007C6F2E">
      <w:pPr>
        <w:pStyle w:val="Standard"/>
        <w:rPr>
          <w:color w:val="FF0000"/>
          <w:sz w:val="22"/>
          <w:szCs w:val="22"/>
        </w:rPr>
      </w:pPr>
    </w:p>
    <w:tbl>
      <w:tblPr>
        <w:tblW w:w="9405" w:type="dxa"/>
        <w:tblInd w:w="-108" w:type="dxa"/>
        <w:tblLayout w:type="fixed"/>
        <w:tblCellMar>
          <w:left w:w="10" w:type="dxa"/>
          <w:right w:w="10" w:type="dxa"/>
        </w:tblCellMar>
        <w:tblLook w:val="04A0" w:firstRow="1" w:lastRow="0" w:firstColumn="1" w:lastColumn="0" w:noHBand="0" w:noVBand="1"/>
      </w:tblPr>
      <w:tblGrid>
        <w:gridCol w:w="1237"/>
        <w:gridCol w:w="1985"/>
        <w:gridCol w:w="6183"/>
      </w:tblGrid>
      <w:tr w:rsidR="00FA6BF1" w:rsidRPr="00702A1E" w14:paraId="00D1DF66" w14:textId="77777777" w:rsidTr="00C97AA2">
        <w:trPr>
          <w:trHeight w:val="51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ABB9AF0" w14:textId="77777777" w:rsidR="00FA6BF1" w:rsidRPr="00702A1E" w:rsidRDefault="00091387">
            <w:pPr>
              <w:pStyle w:val="Standard"/>
              <w:spacing w:line="276" w:lineRule="auto"/>
              <w:rPr>
                <w:sz w:val="22"/>
                <w:szCs w:val="22"/>
              </w:rPr>
            </w:pPr>
            <w:r w:rsidRPr="00702A1E">
              <w:rPr>
                <w:b/>
                <w:bCs/>
                <w:color w:val="000000"/>
                <w:sz w:val="22"/>
                <w:szCs w:val="22"/>
                <w:lang w:eastAsia="en-US"/>
              </w:rPr>
              <w:t>Aktivnost/ Projekt:</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33B5FD" w14:textId="77777777" w:rsidR="00FA6BF1" w:rsidRPr="00702A1E" w:rsidRDefault="00091387">
            <w:pPr>
              <w:pStyle w:val="Standard"/>
              <w:spacing w:line="276" w:lineRule="auto"/>
              <w:rPr>
                <w:b/>
                <w:bCs/>
                <w:sz w:val="22"/>
                <w:szCs w:val="22"/>
                <w:lang w:eastAsia="en-US"/>
              </w:rPr>
            </w:pPr>
            <w:r w:rsidRPr="00702A1E">
              <w:rPr>
                <w:b/>
                <w:bCs/>
                <w:sz w:val="22"/>
                <w:szCs w:val="22"/>
                <w:lang w:eastAsia="en-US"/>
              </w:rPr>
              <w:t>A003020A302002</w:t>
            </w:r>
          </w:p>
        </w:tc>
        <w:tc>
          <w:tcPr>
            <w:tcW w:w="61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D98BB8" w14:textId="77777777" w:rsidR="00FA6BF1" w:rsidRPr="00702A1E" w:rsidRDefault="00091387">
            <w:pPr>
              <w:pStyle w:val="Standard"/>
              <w:spacing w:line="276" w:lineRule="auto"/>
              <w:rPr>
                <w:b/>
                <w:bCs/>
                <w:sz w:val="22"/>
                <w:szCs w:val="22"/>
                <w:lang w:eastAsia="en-US"/>
              </w:rPr>
            </w:pPr>
            <w:r w:rsidRPr="00702A1E">
              <w:rPr>
                <w:b/>
                <w:bCs/>
                <w:sz w:val="22"/>
                <w:szCs w:val="22"/>
                <w:lang w:eastAsia="en-US"/>
              </w:rPr>
              <w:t>Izgradnja i uređenje objekata te nabava i održavanje opreme</w:t>
            </w:r>
          </w:p>
        </w:tc>
      </w:tr>
      <w:tr w:rsidR="00FA6BF1" w:rsidRPr="00702A1E" w14:paraId="39986534" w14:textId="77777777" w:rsidTr="00C97AA2">
        <w:trPr>
          <w:trHeight w:val="51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E73FF75" w14:textId="77777777" w:rsidR="00FA6BF1" w:rsidRPr="00702A1E" w:rsidRDefault="00091387">
            <w:pPr>
              <w:pStyle w:val="Standard"/>
              <w:spacing w:line="276" w:lineRule="auto"/>
              <w:rPr>
                <w:sz w:val="22"/>
                <w:szCs w:val="22"/>
              </w:rPr>
            </w:pPr>
            <w:r w:rsidRPr="00702A1E">
              <w:rPr>
                <w:color w:val="000000"/>
                <w:sz w:val="22"/>
                <w:szCs w:val="22"/>
                <w:lang w:eastAsia="en-US"/>
              </w:rPr>
              <w:t>Zakonska i druga pravna osnova:</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13844" w14:textId="65BC80B0" w:rsidR="00FA6BF1" w:rsidRPr="00702A1E" w:rsidRDefault="00091387" w:rsidP="00C97AA2">
            <w:pPr>
              <w:spacing w:line="240" w:lineRule="auto"/>
              <w:jc w:val="both"/>
              <w:rPr>
                <w:rFonts w:ascii="Times New Roman" w:hAnsi="Times New Roman" w:cs="Times New Roman"/>
              </w:rPr>
            </w:pPr>
            <w:r w:rsidRPr="00702A1E">
              <w:rPr>
                <w:rFonts w:ascii="Times New Roman" w:eastAsia="Symbol" w:hAnsi="Times New Roman" w:cs="Times New Roman"/>
                <w:lang w:val="pl-PL"/>
              </w:rPr>
              <w:t>Zakon o zdravstvenoj zaštiti, Zakon o obveznom zdravstvenom osiguranju, Mreža hitne medicine,</w:t>
            </w:r>
            <w:r w:rsidR="003F705E" w:rsidRPr="00702A1E">
              <w:rPr>
                <w:rFonts w:ascii="Times New Roman" w:eastAsia="Symbol" w:hAnsi="Times New Roman" w:cs="Times New Roman"/>
                <w:lang w:val="pl-PL"/>
              </w:rPr>
              <w:t xml:space="preserve"> </w:t>
            </w:r>
            <w:r w:rsidRPr="00702A1E">
              <w:rPr>
                <w:rFonts w:ascii="Times New Roman" w:hAnsi="Times New Roman" w:cs="Times New Roman"/>
                <w:iCs/>
              </w:rPr>
              <w:t xml:space="preserve">Pravilnik o minimalnim uvjetima u pogledu prostora, radnika i medicinsko-tehničke opreme za obavljanje djelatnosti hitne medicine, Pravilnik o uvjetima, organizaciji i načinu obavljanja djelatnosti hitne medicine, Pravilnik o uvjetima, organizaciji i načinu obavljanja djelatnosti sanitetskog prijevoza, </w:t>
            </w:r>
            <w:r w:rsidRPr="00702A1E">
              <w:rPr>
                <w:rFonts w:ascii="Times New Roman" w:hAnsi="Times New Roman" w:cs="Times New Roman"/>
              </w:rPr>
              <w:t>Upute za izradu Proračuna Splitsko-dalmatinske županije za razdoblje 202</w:t>
            </w:r>
            <w:r w:rsidR="00A67B9D" w:rsidRPr="00702A1E">
              <w:rPr>
                <w:rFonts w:ascii="Times New Roman" w:hAnsi="Times New Roman" w:cs="Times New Roman"/>
              </w:rPr>
              <w:t>4</w:t>
            </w:r>
            <w:r w:rsidRPr="00702A1E">
              <w:rPr>
                <w:rFonts w:ascii="Times New Roman" w:hAnsi="Times New Roman" w:cs="Times New Roman"/>
              </w:rPr>
              <w:t>.g.-202</w:t>
            </w:r>
            <w:r w:rsidR="00A67B9D" w:rsidRPr="00702A1E">
              <w:rPr>
                <w:rFonts w:ascii="Times New Roman" w:hAnsi="Times New Roman" w:cs="Times New Roman"/>
              </w:rPr>
              <w:t>6</w:t>
            </w:r>
            <w:r w:rsidRPr="00702A1E">
              <w:rPr>
                <w:rFonts w:ascii="Times New Roman" w:hAnsi="Times New Roman" w:cs="Times New Roman"/>
              </w:rPr>
              <w:t>.g.</w:t>
            </w:r>
          </w:p>
        </w:tc>
      </w:tr>
      <w:tr w:rsidR="00FA6BF1" w:rsidRPr="00702A1E" w14:paraId="7572918D" w14:textId="77777777" w:rsidTr="00C97AA2">
        <w:trPr>
          <w:trHeight w:val="25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66F4B94" w14:textId="77777777" w:rsidR="00FA6BF1" w:rsidRPr="00702A1E" w:rsidRDefault="00091387">
            <w:pPr>
              <w:pStyle w:val="Standard"/>
              <w:spacing w:line="276" w:lineRule="auto"/>
              <w:rPr>
                <w:sz w:val="22"/>
                <w:szCs w:val="22"/>
              </w:rPr>
            </w:pPr>
            <w:r w:rsidRPr="00702A1E">
              <w:rPr>
                <w:b/>
                <w:bCs/>
                <w:color w:val="000000"/>
                <w:sz w:val="22"/>
                <w:szCs w:val="22"/>
                <w:lang w:eastAsia="en-US"/>
              </w:rPr>
              <w:t>Opis aktivnosti / projekta</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B33A18" w14:textId="160B68C1" w:rsidR="00FA6BF1" w:rsidRPr="00702A1E" w:rsidRDefault="00091387" w:rsidP="00C97AA2">
            <w:pPr>
              <w:snapToGrid w:val="0"/>
              <w:spacing w:line="240" w:lineRule="auto"/>
              <w:jc w:val="both"/>
              <w:rPr>
                <w:rFonts w:ascii="Times New Roman" w:hAnsi="Times New Roman" w:cs="Times New Roman"/>
              </w:rPr>
            </w:pPr>
            <w:r w:rsidRPr="00702A1E">
              <w:rPr>
                <w:rFonts w:ascii="Times New Roman" w:hAnsi="Times New Roman" w:cs="Times New Roman"/>
              </w:rPr>
              <w:t xml:space="preserve">Cilj aktivnosti je redovito održavanje opreme i voznog parka, adaptacija objekata za smještaj timova hitne medicine </w:t>
            </w:r>
            <w:r w:rsidR="008E7AB2" w:rsidRPr="00702A1E">
              <w:rPr>
                <w:rFonts w:ascii="Times New Roman" w:hAnsi="Times New Roman" w:cs="Times New Roman"/>
              </w:rPr>
              <w:t>te</w:t>
            </w:r>
            <w:r w:rsidRPr="00702A1E">
              <w:rPr>
                <w:rFonts w:ascii="Times New Roman" w:hAnsi="Times New Roman" w:cs="Times New Roman"/>
              </w:rPr>
              <w:t xml:space="preserve"> nabava opreme i novih vozila kako bi se osigurali preduvjeti za provođenje kvalitetne hitne medicine i sanitetskog prijevoza.</w:t>
            </w:r>
          </w:p>
          <w:p w14:paraId="74C86F93" w14:textId="47671222" w:rsidR="00FA6BF1" w:rsidRPr="00702A1E" w:rsidRDefault="00091387" w:rsidP="00C97AA2">
            <w:pPr>
              <w:snapToGrid w:val="0"/>
              <w:spacing w:line="240" w:lineRule="auto"/>
              <w:jc w:val="both"/>
              <w:rPr>
                <w:rFonts w:ascii="Times New Roman" w:hAnsi="Times New Roman" w:cs="Times New Roman"/>
                <w:bCs/>
              </w:rPr>
            </w:pPr>
            <w:r w:rsidRPr="00702A1E">
              <w:rPr>
                <w:rFonts w:ascii="Times New Roman" w:hAnsi="Times New Roman" w:cs="Times New Roman"/>
                <w:bCs/>
              </w:rPr>
              <w:t>Sukladno Pravilniku o minimalnim uvjetima u pogledu prostora, radnika i medicinsko-tehničke opreme potrebno je obnavljati vozni park na način da vozila budu uvjetna za obavljanje djelatnosti. Također, zbog djelatnosti koju Zavod obavlja nužno je redovito servisiranje i održavanje vozila  i medicinske opreme</w:t>
            </w:r>
            <w:r w:rsidR="007E28A5" w:rsidRPr="00702A1E">
              <w:rPr>
                <w:rFonts w:ascii="Times New Roman" w:hAnsi="Times New Roman" w:cs="Times New Roman"/>
                <w:bCs/>
              </w:rPr>
              <w:t>, održavanja objekata,</w:t>
            </w:r>
            <w:r w:rsidRPr="00702A1E">
              <w:rPr>
                <w:rFonts w:ascii="Times New Roman" w:hAnsi="Times New Roman" w:cs="Times New Roman"/>
                <w:bCs/>
              </w:rPr>
              <w:t xml:space="preserve"> te nabava auto guma i službene radne odjeće.</w:t>
            </w:r>
          </w:p>
          <w:p w14:paraId="486D57D5" w14:textId="60BE82E3" w:rsidR="00FA6BF1" w:rsidRPr="00702A1E" w:rsidRDefault="00091387" w:rsidP="00C97AA2">
            <w:pPr>
              <w:snapToGrid w:val="0"/>
              <w:spacing w:line="240" w:lineRule="auto"/>
              <w:jc w:val="both"/>
              <w:rPr>
                <w:rFonts w:ascii="Times New Roman" w:hAnsi="Times New Roman" w:cs="Times New Roman"/>
                <w:bCs/>
              </w:rPr>
            </w:pPr>
            <w:r w:rsidRPr="00702A1E">
              <w:rPr>
                <w:rFonts w:ascii="Times New Roman" w:hAnsi="Times New Roman" w:cs="Times New Roman"/>
                <w:bCs/>
              </w:rPr>
              <w:t xml:space="preserve">Uz navedeno, za unaprjeđenje uvjeta rada i opremljenosti potrebno je nabaviti licence, računalnu opremu i namještaj, medicinsku i komunikacijsku opremu čime će se poboljšati dostupnost, jednakost i učinkovitost, odnosno efikasnost hitne medicine i sanitetskog </w:t>
            </w:r>
            <w:r w:rsidRPr="00702A1E">
              <w:rPr>
                <w:rFonts w:ascii="Times New Roman" w:hAnsi="Times New Roman" w:cs="Times New Roman"/>
                <w:bCs/>
              </w:rPr>
              <w:lastRenderedPageBreak/>
              <w:t>prijevoza.</w:t>
            </w:r>
          </w:p>
          <w:p w14:paraId="25CF62EB" w14:textId="654CF9B1" w:rsidR="00FA6BF1" w:rsidRPr="00702A1E" w:rsidRDefault="00091387" w:rsidP="00C97AA2">
            <w:pPr>
              <w:spacing w:line="240" w:lineRule="auto"/>
              <w:jc w:val="both"/>
              <w:rPr>
                <w:rFonts w:ascii="Times New Roman" w:hAnsi="Times New Roman" w:cs="Times New Roman"/>
                <w:bCs/>
              </w:rPr>
            </w:pPr>
            <w:r w:rsidRPr="00702A1E">
              <w:rPr>
                <w:rFonts w:ascii="Times New Roman" w:hAnsi="Times New Roman" w:cs="Times New Roman"/>
                <w:bCs/>
              </w:rPr>
              <w:t xml:space="preserve">Ova aktivnost, koja obuhvaća </w:t>
            </w:r>
            <w:r w:rsidR="00A67B9D" w:rsidRPr="00702A1E">
              <w:rPr>
                <w:rFonts w:ascii="Times New Roman" w:hAnsi="Times New Roman" w:cs="Times New Roman"/>
                <w:bCs/>
              </w:rPr>
              <w:t>8,9</w:t>
            </w:r>
            <w:r w:rsidRPr="00702A1E">
              <w:rPr>
                <w:rFonts w:ascii="Times New Roman" w:hAnsi="Times New Roman" w:cs="Times New Roman"/>
                <w:bCs/>
              </w:rPr>
              <w:t xml:space="preserve"> % ukupnog plana za 202</w:t>
            </w:r>
            <w:r w:rsidR="00A67B9D" w:rsidRPr="00702A1E">
              <w:rPr>
                <w:rFonts w:ascii="Times New Roman" w:hAnsi="Times New Roman" w:cs="Times New Roman"/>
                <w:bCs/>
              </w:rPr>
              <w:t>4</w:t>
            </w:r>
            <w:r w:rsidRPr="00702A1E">
              <w:rPr>
                <w:rFonts w:ascii="Times New Roman" w:hAnsi="Times New Roman" w:cs="Times New Roman"/>
                <w:bCs/>
              </w:rPr>
              <w:t xml:space="preserve">.g. sastoji se od materijalnih rashoda, rashoda za nabavu </w:t>
            </w:r>
            <w:proofErr w:type="spellStart"/>
            <w:r w:rsidRPr="00702A1E">
              <w:rPr>
                <w:rFonts w:ascii="Times New Roman" w:hAnsi="Times New Roman" w:cs="Times New Roman"/>
                <w:bCs/>
              </w:rPr>
              <w:t>neproizvedene</w:t>
            </w:r>
            <w:proofErr w:type="spellEnd"/>
            <w:r w:rsidRPr="00702A1E">
              <w:rPr>
                <w:rFonts w:ascii="Times New Roman" w:hAnsi="Times New Roman" w:cs="Times New Roman"/>
                <w:bCs/>
              </w:rPr>
              <w:t xml:space="preserve"> dugotrajne imovine i rashoda za nabavu proizvedene dugotrajne imovine koji se financiraju iz:</w:t>
            </w:r>
          </w:p>
          <w:p w14:paraId="2012915D" w14:textId="69C4F3E3" w:rsidR="00FA6BF1" w:rsidRPr="00702A1E" w:rsidRDefault="00091387" w:rsidP="00C97AA2">
            <w:pPr>
              <w:pStyle w:val="Odlomakpopisa"/>
              <w:numPr>
                <w:ilvl w:val="0"/>
                <w:numId w:val="12"/>
              </w:numPr>
              <w:spacing w:line="240" w:lineRule="auto"/>
              <w:jc w:val="both"/>
              <w:rPr>
                <w:rFonts w:ascii="Times New Roman" w:hAnsi="Times New Roman" w:cs="Times New Roman"/>
              </w:rPr>
            </w:pPr>
            <w:r w:rsidRPr="00702A1E">
              <w:rPr>
                <w:rFonts w:ascii="Times New Roman" w:hAnsi="Times New Roman" w:cs="Times New Roman"/>
                <w:bCs/>
              </w:rPr>
              <w:t xml:space="preserve">decentralizirana sredstva u iznosu od </w:t>
            </w:r>
            <w:r w:rsidR="00A67B9D" w:rsidRPr="00702A1E">
              <w:rPr>
                <w:rFonts w:ascii="Times New Roman" w:hAnsi="Times New Roman" w:cs="Times New Roman"/>
                <w:bCs/>
              </w:rPr>
              <w:t>1.742.367,58</w:t>
            </w:r>
            <w:r w:rsidRPr="00702A1E">
              <w:rPr>
                <w:rFonts w:ascii="Times New Roman" w:hAnsi="Times New Roman" w:cs="Times New Roman"/>
                <w:bCs/>
              </w:rPr>
              <w:t xml:space="preserve"> </w:t>
            </w:r>
            <w:r w:rsidRPr="00702A1E">
              <w:rPr>
                <w:rFonts w:ascii="Times New Roman" w:hAnsi="Times New Roman" w:cs="Times New Roman"/>
                <w:bCs/>
                <w:color w:val="000000"/>
                <w:kern w:val="0"/>
              </w:rPr>
              <w:t>€ u 202</w:t>
            </w:r>
            <w:r w:rsidR="00A67B9D" w:rsidRPr="00702A1E">
              <w:rPr>
                <w:rFonts w:ascii="Times New Roman" w:hAnsi="Times New Roman" w:cs="Times New Roman"/>
                <w:bCs/>
                <w:color w:val="000000"/>
                <w:kern w:val="0"/>
              </w:rPr>
              <w:t>4</w:t>
            </w:r>
            <w:r w:rsidRPr="00702A1E">
              <w:rPr>
                <w:rFonts w:ascii="Times New Roman" w:hAnsi="Times New Roman" w:cs="Times New Roman"/>
                <w:bCs/>
                <w:color w:val="000000"/>
                <w:kern w:val="0"/>
              </w:rPr>
              <w:t>.g., te u iznosu od 1.</w:t>
            </w:r>
            <w:r w:rsidR="00A67B9D" w:rsidRPr="00702A1E">
              <w:rPr>
                <w:rFonts w:ascii="Times New Roman" w:hAnsi="Times New Roman" w:cs="Times New Roman"/>
                <w:bCs/>
                <w:color w:val="000000"/>
                <w:kern w:val="0"/>
              </w:rPr>
              <w:t>712.367,58</w:t>
            </w:r>
            <w:r w:rsidRPr="00702A1E">
              <w:rPr>
                <w:rFonts w:ascii="Times New Roman" w:hAnsi="Times New Roman" w:cs="Times New Roman"/>
                <w:bCs/>
                <w:color w:val="000000"/>
                <w:kern w:val="0"/>
              </w:rPr>
              <w:t xml:space="preserve"> € u iduće dvije godine,</w:t>
            </w:r>
          </w:p>
          <w:p w14:paraId="035F54E9" w14:textId="1AD40203" w:rsidR="00FA6BF1" w:rsidRPr="00702A1E" w:rsidRDefault="00091387" w:rsidP="00C97AA2">
            <w:pPr>
              <w:numPr>
                <w:ilvl w:val="0"/>
                <w:numId w:val="12"/>
              </w:numPr>
              <w:suppressAutoHyphens w:val="0"/>
              <w:spacing w:line="240" w:lineRule="auto"/>
              <w:jc w:val="both"/>
              <w:rPr>
                <w:rFonts w:ascii="Times New Roman" w:hAnsi="Times New Roman" w:cs="Times New Roman"/>
              </w:rPr>
            </w:pPr>
            <w:r w:rsidRPr="00702A1E">
              <w:rPr>
                <w:rFonts w:ascii="Times New Roman" w:hAnsi="Times New Roman" w:cs="Times New Roman"/>
              </w:rPr>
              <w:t xml:space="preserve">matičnih sredstava SDŽ u iznosu od </w:t>
            </w:r>
            <w:r w:rsidR="00845C4C" w:rsidRPr="00702A1E">
              <w:rPr>
                <w:rFonts w:ascii="Times New Roman" w:hAnsi="Times New Roman" w:cs="Times New Roman"/>
              </w:rPr>
              <w:t>289.995,94</w:t>
            </w:r>
            <w:r w:rsidRPr="00702A1E">
              <w:rPr>
                <w:rFonts w:ascii="Times New Roman" w:hAnsi="Times New Roman" w:cs="Times New Roman"/>
              </w:rPr>
              <w:t xml:space="preserve"> </w:t>
            </w:r>
            <w:r w:rsidRPr="00702A1E">
              <w:rPr>
                <w:rFonts w:ascii="Times New Roman" w:hAnsi="Times New Roman" w:cs="Times New Roman"/>
                <w:bCs/>
                <w:color w:val="000000"/>
                <w:kern w:val="0"/>
              </w:rPr>
              <w:t>€ u 202</w:t>
            </w:r>
            <w:r w:rsidR="00A67B9D" w:rsidRPr="00702A1E">
              <w:rPr>
                <w:rFonts w:ascii="Times New Roman" w:hAnsi="Times New Roman" w:cs="Times New Roman"/>
                <w:bCs/>
                <w:color w:val="000000"/>
                <w:kern w:val="0"/>
              </w:rPr>
              <w:t>4</w:t>
            </w:r>
            <w:r w:rsidRPr="00702A1E">
              <w:rPr>
                <w:rFonts w:ascii="Times New Roman" w:hAnsi="Times New Roman" w:cs="Times New Roman"/>
                <w:bCs/>
                <w:color w:val="000000"/>
                <w:kern w:val="0"/>
              </w:rPr>
              <w:t xml:space="preserve">.g. te </w:t>
            </w:r>
            <w:r w:rsidR="00A67B9D" w:rsidRPr="00702A1E">
              <w:rPr>
                <w:rFonts w:ascii="Times New Roman" w:hAnsi="Times New Roman" w:cs="Times New Roman"/>
                <w:bCs/>
                <w:color w:val="000000"/>
                <w:kern w:val="0"/>
              </w:rPr>
              <w:t xml:space="preserve">u iznosu od 41.202,11 € u 2025.g. dok u 2026.g. </w:t>
            </w:r>
            <w:r w:rsidRPr="00702A1E">
              <w:rPr>
                <w:rFonts w:ascii="Times New Roman" w:hAnsi="Times New Roman" w:cs="Times New Roman"/>
                <w:bCs/>
                <w:color w:val="000000"/>
                <w:kern w:val="0"/>
              </w:rPr>
              <w:t xml:space="preserve">se </w:t>
            </w:r>
            <w:r w:rsidR="00A67B9D" w:rsidRPr="00702A1E">
              <w:rPr>
                <w:rFonts w:ascii="Times New Roman" w:hAnsi="Times New Roman" w:cs="Times New Roman"/>
                <w:bCs/>
                <w:color w:val="000000"/>
                <w:kern w:val="0"/>
              </w:rPr>
              <w:t xml:space="preserve">ne planiraju sredstva </w:t>
            </w:r>
            <w:r w:rsidRPr="00702A1E">
              <w:rPr>
                <w:rFonts w:ascii="Times New Roman" w:hAnsi="Times New Roman" w:cs="Times New Roman"/>
                <w:bCs/>
                <w:color w:val="000000"/>
                <w:kern w:val="0"/>
              </w:rPr>
              <w:t>iz ovog izvora,</w:t>
            </w:r>
          </w:p>
          <w:p w14:paraId="7B4923FD" w14:textId="2F63881B" w:rsidR="00FA6BF1" w:rsidRPr="00702A1E" w:rsidRDefault="00091387" w:rsidP="00C97AA2">
            <w:pPr>
              <w:numPr>
                <w:ilvl w:val="0"/>
                <w:numId w:val="12"/>
              </w:numPr>
              <w:suppressAutoHyphens w:val="0"/>
              <w:spacing w:line="240" w:lineRule="auto"/>
              <w:jc w:val="both"/>
              <w:rPr>
                <w:rFonts w:ascii="Times New Roman" w:hAnsi="Times New Roman" w:cs="Times New Roman"/>
              </w:rPr>
            </w:pPr>
            <w:r w:rsidRPr="00702A1E">
              <w:rPr>
                <w:rFonts w:ascii="Times New Roman" w:hAnsi="Times New Roman" w:cs="Times New Roman"/>
                <w:bCs/>
              </w:rPr>
              <w:t xml:space="preserve">vlastitih prihoda </w:t>
            </w:r>
            <w:r w:rsidR="007E28A5" w:rsidRPr="00702A1E">
              <w:rPr>
                <w:rFonts w:ascii="Times New Roman" w:hAnsi="Times New Roman" w:cs="Times New Roman"/>
                <w:bCs/>
              </w:rPr>
              <w:t>Zavoda</w:t>
            </w:r>
            <w:r w:rsidRPr="00702A1E">
              <w:rPr>
                <w:rFonts w:ascii="Times New Roman" w:hAnsi="Times New Roman" w:cs="Times New Roman"/>
                <w:bCs/>
              </w:rPr>
              <w:t xml:space="preserve"> u iznosu od </w:t>
            </w:r>
            <w:r w:rsidR="00845C4C" w:rsidRPr="00702A1E">
              <w:rPr>
                <w:rFonts w:ascii="Times New Roman" w:hAnsi="Times New Roman" w:cs="Times New Roman"/>
                <w:bCs/>
              </w:rPr>
              <w:t>155.636,48</w:t>
            </w:r>
            <w:r w:rsidRPr="00702A1E">
              <w:rPr>
                <w:rFonts w:ascii="Times New Roman" w:hAnsi="Times New Roman" w:cs="Times New Roman"/>
                <w:bCs/>
              </w:rPr>
              <w:t xml:space="preserve"> </w:t>
            </w:r>
            <w:r w:rsidRPr="00702A1E">
              <w:rPr>
                <w:rFonts w:ascii="Times New Roman" w:hAnsi="Times New Roman" w:cs="Times New Roman"/>
                <w:bCs/>
                <w:color w:val="000000"/>
                <w:kern w:val="0"/>
              </w:rPr>
              <w:t>€</w:t>
            </w:r>
            <w:r w:rsidRPr="00702A1E">
              <w:rPr>
                <w:rFonts w:ascii="Times New Roman" w:hAnsi="Times New Roman" w:cs="Times New Roman"/>
                <w:bCs/>
                <w:color w:val="000000"/>
              </w:rPr>
              <w:t xml:space="preserve"> u 202</w:t>
            </w:r>
            <w:r w:rsidR="00845C4C" w:rsidRPr="00702A1E">
              <w:rPr>
                <w:rFonts w:ascii="Times New Roman" w:hAnsi="Times New Roman" w:cs="Times New Roman"/>
                <w:bCs/>
                <w:color w:val="000000"/>
              </w:rPr>
              <w:t>4</w:t>
            </w:r>
            <w:r w:rsidRPr="00702A1E">
              <w:rPr>
                <w:rFonts w:ascii="Times New Roman" w:hAnsi="Times New Roman" w:cs="Times New Roman"/>
                <w:bCs/>
                <w:color w:val="000000"/>
              </w:rPr>
              <w:t>.g.</w:t>
            </w:r>
            <w:r w:rsidRPr="00702A1E">
              <w:rPr>
                <w:rFonts w:ascii="Times New Roman" w:hAnsi="Times New Roman" w:cs="Times New Roman"/>
                <w:bCs/>
              </w:rPr>
              <w:t xml:space="preserve">, </w:t>
            </w:r>
            <w:r w:rsidR="00845C4C" w:rsidRPr="00702A1E">
              <w:rPr>
                <w:rFonts w:ascii="Times New Roman" w:hAnsi="Times New Roman" w:cs="Times New Roman"/>
                <w:bCs/>
              </w:rPr>
              <w:t>161.230,31</w:t>
            </w:r>
            <w:r w:rsidRPr="00702A1E">
              <w:rPr>
                <w:rFonts w:ascii="Times New Roman" w:hAnsi="Times New Roman" w:cs="Times New Roman"/>
                <w:bCs/>
              </w:rPr>
              <w:t xml:space="preserve"> </w:t>
            </w:r>
            <w:r w:rsidRPr="00702A1E">
              <w:rPr>
                <w:rFonts w:ascii="Times New Roman" w:hAnsi="Times New Roman" w:cs="Times New Roman"/>
                <w:bCs/>
                <w:color w:val="000000"/>
                <w:kern w:val="0"/>
              </w:rPr>
              <w:t>€ u 202</w:t>
            </w:r>
            <w:r w:rsidR="00845C4C" w:rsidRPr="00702A1E">
              <w:rPr>
                <w:rFonts w:ascii="Times New Roman" w:hAnsi="Times New Roman" w:cs="Times New Roman"/>
                <w:bCs/>
                <w:color w:val="000000"/>
                <w:kern w:val="0"/>
              </w:rPr>
              <w:t>5</w:t>
            </w:r>
            <w:r w:rsidRPr="00702A1E">
              <w:rPr>
                <w:rFonts w:ascii="Times New Roman" w:hAnsi="Times New Roman" w:cs="Times New Roman"/>
                <w:bCs/>
                <w:color w:val="000000"/>
                <w:kern w:val="0"/>
              </w:rPr>
              <w:t xml:space="preserve">.g. i  </w:t>
            </w:r>
            <w:r w:rsidR="00845C4C" w:rsidRPr="00702A1E">
              <w:rPr>
                <w:rFonts w:ascii="Times New Roman" w:hAnsi="Times New Roman" w:cs="Times New Roman"/>
                <w:bCs/>
                <w:color w:val="000000"/>
                <w:kern w:val="0"/>
              </w:rPr>
              <w:t>166.632,42</w:t>
            </w:r>
            <w:r w:rsidRPr="00702A1E">
              <w:rPr>
                <w:rFonts w:ascii="Times New Roman" w:hAnsi="Times New Roman" w:cs="Times New Roman"/>
                <w:bCs/>
                <w:color w:val="000000"/>
                <w:kern w:val="0"/>
              </w:rPr>
              <w:t xml:space="preserve"> € u 202</w:t>
            </w:r>
            <w:r w:rsidR="00845C4C" w:rsidRPr="00702A1E">
              <w:rPr>
                <w:rFonts w:ascii="Times New Roman" w:hAnsi="Times New Roman" w:cs="Times New Roman"/>
                <w:bCs/>
                <w:color w:val="000000"/>
                <w:kern w:val="0"/>
              </w:rPr>
              <w:t>6</w:t>
            </w:r>
            <w:r w:rsidRPr="00702A1E">
              <w:rPr>
                <w:rFonts w:ascii="Times New Roman" w:hAnsi="Times New Roman" w:cs="Times New Roman"/>
                <w:bCs/>
                <w:color w:val="000000"/>
                <w:kern w:val="0"/>
              </w:rPr>
              <w:t>.g.</w:t>
            </w:r>
            <w:r w:rsidRPr="00702A1E">
              <w:rPr>
                <w:rFonts w:ascii="Times New Roman" w:hAnsi="Times New Roman" w:cs="Times New Roman"/>
                <w:bCs/>
              </w:rPr>
              <w:t>,</w:t>
            </w:r>
          </w:p>
          <w:p w14:paraId="3FF6ADB3" w14:textId="343E399D" w:rsidR="00FA6BF1" w:rsidRPr="00702A1E" w:rsidRDefault="00091387" w:rsidP="00C97AA2">
            <w:pPr>
              <w:pStyle w:val="Odlomakpopisa"/>
              <w:numPr>
                <w:ilvl w:val="0"/>
                <w:numId w:val="12"/>
              </w:numPr>
              <w:snapToGrid w:val="0"/>
              <w:spacing w:line="240" w:lineRule="auto"/>
              <w:jc w:val="both"/>
              <w:rPr>
                <w:rFonts w:ascii="Times New Roman" w:hAnsi="Times New Roman" w:cs="Times New Roman"/>
              </w:rPr>
            </w:pPr>
            <w:r w:rsidRPr="00702A1E">
              <w:rPr>
                <w:rFonts w:ascii="Times New Roman" w:hAnsi="Times New Roman" w:cs="Times New Roman"/>
                <w:bCs/>
              </w:rPr>
              <w:t xml:space="preserve">prihoda od prodaje nefinancijske imovine i refundacija šteta u iznosu od </w:t>
            </w:r>
            <w:r w:rsidR="00845C4C" w:rsidRPr="00702A1E">
              <w:rPr>
                <w:rFonts w:ascii="Times New Roman" w:hAnsi="Times New Roman" w:cs="Times New Roman"/>
                <w:bCs/>
              </w:rPr>
              <w:t>29.900</w:t>
            </w:r>
            <w:r w:rsidRPr="00702A1E">
              <w:rPr>
                <w:rFonts w:ascii="Times New Roman" w:hAnsi="Times New Roman" w:cs="Times New Roman"/>
                <w:bCs/>
              </w:rPr>
              <w:t>,</w:t>
            </w:r>
            <w:r w:rsidR="00845C4C" w:rsidRPr="00702A1E">
              <w:rPr>
                <w:rFonts w:ascii="Times New Roman" w:hAnsi="Times New Roman" w:cs="Times New Roman"/>
                <w:bCs/>
              </w:rPr>
              <w:t>00</w:t>
            </w:r>
            <w:r w:rsidRPr="00702A1E">
              <w:rPr>
                <w:rFonts w:ascii="Times New Roman" w:hAnsi="Times New Roman" w:cs="Times New Roman"/>
                <w:bCs/>
              </w:rPr>
              <w:t xml:space="preserve"> </w:t>
            </w:r>
            <w:r w:rsidRPr="00702A1E">
              <w:rPr>
                <w:rFonts w:ascii="Times New Roman" w:hAnsi="Times New Roman" w:cs="Times New Roman"/>
                <w:bCs/>
                <w:color w:val="000000"/>
                <w:kern w:val="0"/>
              </w:rPr>
              <w:t>€ u 202</w:t>
            </w:r>
            <w:r w:rsidR="00845C4C" w:rsidRPr="00702A1E">
              <w:rPr>
                <w:rFonts w:ascii="Times New Roman" w:hAnsi="Times New Roman" w:cs="Times New Roman"/>
                <w:bCs/>
                <w:color w:val="000000"/>
                <w:kern w:val="0"/>
              </w:rPr>
              <w:t>4</w:t>
            </w:r>
            <w:r w:rsidRPr="00702A1E">
              <w:rPr>
                <w:rFonts w:ascii="Times New Roman" w:hAnsi="Times New Roman" w:cs="Times New Roman"/>
                <w:bCs/>
                <w:color w:val="000000"/>
                <w:kern w:val="0"/>
              </w:rPr>
              <w:t xml:space="preserve">.g., </w:t>
            </w:r>
            <w:r w:rsidR="00845C4C" w:rsidRPr="00702A1E">
              <w:rPr>
                <w:rFonts w:ascii="Times New Roman" w:hAnsi="Times New Roman" w:cs="Times New Roman"/>
                <w:bCs/>
                <w:color w:val="000000"/>
                <w:kern w:val="0"/>
              </w:rPr>
              <w:t>30.600,00 € u 2025.g. i 31.300,00 € u 2026.g.</w:t>
            </w:r>
          </w:p>
        </w:tc>
      </w:tr>
      <w:tr w:rsidR="00FA6BF1" w:rsidRPr="00702A1E" w14:paraId="327E6858" w14:textId="77777777" w:rsidTr="00C97AA2">
        <w:trPr>
          <w:trHeight w:val="25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746D325" w14:textId="77777777" w:rsidR="00FA6BF1" w:rsidRPr="00702A1E" w:rsidRDefault="00091387">
            <w:pPr>
              <w:pStyle w:val="Standard"/>
              <w:spacing w:line="276" w:lineRule="auto"/>
              <w:rPr>
                <w:sz w:val="22"/>
                <w:szCs w:val="22"/>
              </w:rPr>
            </w:pPr>
            <w:r w:rsidRPr="00702A1E">
              <w:rPr>
                <w:b/>
                <w:bCs/>
                <w:color w:val="000000"/>
                <w:sz w:val="22"/>
                <w:szCs w:val="22"/>
                <w:lang w:eastAsia="en-US"/>
              </w:rPr>
              <w:lastRenderedPageBreak/>
              <w:t>Obrazloženje izračuna financijskih sredstava:</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1F1547" w14:textId="53031912" w:rsidR="00FA6BF1" w:rsidRPr="00702A1E" w:rsidRDefault="00985E1B" w:rsidP="00C97AA2">
            <w:pPr>
              <w:spacing w:line="240" w:lineRule="auto"/>
              <w:jc w:val="both"/>
              <w:rPr>
                <w:rFonts w:ascii="Times New Roman" w:hAnsi="Times New Roman" w:cs="Times New Roman"/>
              </w:rPr>
            </w:pPr>
            <w:r w:rsidRPr="00702A1E">
              <w:rPr>
                <w:rFonts w:ascii="Times New Roman" w:hAnsi="Times New Roman" w:cs="Times New Roman"/>
                <w:iCs/>
              </w:rPr>
              <w:t xml:space="preserve">U ovoj aktivnosti u 2024.g. planiraju se prihodi </w:t>
            </w:r>
            <w:r w:rsidR="00D5057C" w:rsidRPr="00702A1E">
              <w:rPr>
                <w:rFonts w:ascii="Times New Roman" w:hAnsi="Times New Roman" w:cs="Times New Roman"/>
                <w:iCs/>
              </w:rPr>
              <w:t>u iznosu od 289.995,94 € (1,2 % od ukupnog plana za 2024.g.) iz proračuna SDŽ za financiranje nabave sanitetskih vozila, 155.636,48 € (0,6 % od ukupnog plana za 2024.g.)</w:t>
            </w:r>
            <w:r w:rsidR="00CB5981" w:rsidRPr="00702A1E">
              <w:rPr>
                <w:rFonts w:ascii="Times New Roman" w:hAnsi="Times New Roman" w:cs="Times New Roman"/>
                <w:iCs/>
              </w:rPr>
              <w:t xml:space="preserve"> </w:t>
            </w:r>
            <w:r w:rsidR="00D5057C" w:rsidRPr="00702A1E">
              <w:rPr>
                <w:rFonts w:ascii="Times New Roman" w:hAnsi="Times New Roman" w:cs="Times New Roman"/>
                <w:iCs/>
              </w:rPr>
              <w:t xml:space="preserve">iz vlastitih prihoda za financiranje rashoda </w:t>
            </w:r>
            <w:r w:rsidR="00CB5981" w:rsidRPr="00702A1E">
              <w:rPr>
                <w:rFonts w:ascii="Times New Roman" w:hAnsi="Times New Roman" w:cs="Times New Roman"/>
                <w:iCs/>
              </w:rPr>
              <w:t>nabave dugotrajne imovine</w:t>
            </w:r>
            <w:r w:rsidR="00D5057C" w:rsidRPr="00702A1E">
              <w:rPr>
                <w:rFonts w:ascii="Times New Roman" w:hAnsi="Times New Roman" w:cs="Times New Roman"/>
                <w:iCs/>
              </w:rPr>
              <w:t xml:space="preserve">, </w:t>
            </w:r>
            <w:r w:rsidR="00CB5981" w:rsidRPr="00702A1E">
              <w:rPr>
                <w:rFonts w:ascii="Times New Roman" w:hAnsi="Times New Roman" w:cs="Times New Roman"/>
                <w:iCs/>
              </w:rPr>
              <w:t>1.742.367,58 €</w:t>
            </w:r>
            <w:r w:rsidR="00D5057C" w:rsidRPr="00702A1E">
              <w:rPr>
                <w:rFonts w:ascii="Times New Roman" w:hAnsi="Times New Roman" w:cs="Times New Roman"/>
                <w:iCs/>
              </w:rPr>
              <w:t xml:space="preserve"> (</w:t>
            </w:r>
            <w:r w:rsidR="00CB5981" w:rsidRPr="00702A1E">
              <w:rPr>
                <w:rFonts w:ascii="Times New Roman" w:hAnsi="Times New Roman" w:cs="Times New Roman"/>
                <w:iCs/>
              </w:rPr>
              <w:t>7,2</w:t>
            </w:r>
            <w:r w:rsidR="00D5057C" w:rsidRPr="00702A1E">
              <w:rPr>
                <w:rFonts w:ascii="Times New Roman" w:hAnsi="Times New Roman" w:cs="Times New Roman"/>
                <w:iCs/>
              </w:rPr>
              <w:t xml:space="preserve"> % od ukupnog plana za 2024.g.) </w:t>
            </w:r>
            <w:r w:rsidRPr="00702A1E">
              <w:rPr>
                <w:rFonts w:ascii="Times New Roman" w:hAnsi="Times New Roman" w:cs="Times New Roman"/>
                <w:iCs/>
              </w:rPr>
              <w:t xml:space="preserve">iz decentraliziranih sredstava </w:t>
            </w:r>
            <w:r w:rsidR="00D5057C" w:rsidRPr="00702A1E">
              <w:rPr>
                <w:rFonts w:ascii="Times New Roman" w:hAnsi="Times New Roman" w:cs="Times New Roman"/>
                <w:iCs/>
              </w:rPr>
              <w:t xml:space="preserve">za financiranje </w:t>
            </w:r>
            <w:r w:rsidR="00CB5981" w:rsidRPr="00702A1E">
              <w:rPr>
                <w:rFonts w:ascii="Times New Roman" w:hAnsi="Times New Roman" w:cs="Times New Roman"/>
                <w:iCs/>
              </w:rPr>
              <w:t xml:space="preserve">rashoda </w:t>
            </w:r>
            <w:r w:rsidRPr="00702A1E">
              <w:rPr>
                <w:rFonts w:ascii="Times New Roman" w:hAnsi="Times New Roman" w:cs="Times New Roman"/>
                <w:iCs/>
              </w:rPr>
              <w:t>nabave auto guma i službene radne odjeće, za održavanje objekata, opreme i vozila te za nabavu opreme i vozila, 29.900,00 € ( 0,1 % od ukupnog plana za 2024.g.) od prodaje rashodovanih vozila, otkupa stanova te od refundacija šteta od osiguravajuće kuće.</w:t>
            </w:r>
            <w:r w:rsidR="00DE1003" w:rsidRPr="00702A1E">
              <w:rPr>
                <w:rFonts w:ascii="Times New Roman" w:hAnsi="Times New Roman" w:cs="Times New Roman"/>
                <w:iCs/>
              </w:rPr>
              <w:t xml:space="preserve"> </w:t>
            </w:r>
            <w:r w:rsidR="00091387" w:rsidRPr="00702A1E">
              <w:rPr>
                <w:rFonts w:ascii="Times New Roman" w:hAnsi="Times New Roman" w:cs="Times New Roman"/>
                <w:iCs/>
              </w:rPr>
              <w:t>Rashodi koji će se financirati u ovoj aktivnosti u 202</w:t>
            </w:r>
            <w:r w:rsidR="00845C4C" w:rsidRPr="00702A1E">
              <w:rPr>
                <w:rFonts w:ascii="Times New Roman" w:hAnsi="Times New Roman" w:cs="Times New Roman"/>
                <w:iCs/>
              </w:rPr>
              <w:t>4</w:t>
            </w:r>
            <w:r w:rsidR="00091387" w:rsidRPr="00702A1E">
              <w:rPr>
                <w:rFonts w:ascii="Times New Roman" w:hAnsi="Times New Roman" w:cs="Times New Roman"/>
                <w:iCs/>
              </w:rPr>
              <w:t xml:space="preserve">.g. su: materijalni rashodi u iznosu od  </w:t>
            </w:r>
            <w:r w:rsidR="00845C4C" w:rsidRPr="00702A1E">
              <w:rPr>
                <w:rFonts w:ascii="Times New Roman" w:hAnsi="Times New Roman" w:cs="Times New Roman"/>
                <w:iCs/>
              </w:rPr>
              <w:t>941.900,00</w:t>
            </w:r>
            <w:r w:rsidR="00091387" w:rsidRPr="00702A1E">
              <w:rPr>
                <w:rFonts w:ascii="Times New Roman" w:hAnsi="Times New Roman" w:cs="Times New Roman"/>
                <w:iCs/>
              </w:rPr>
              <w:t xml:space="preserve"> € (</w:t>
            </w:r>
            <w:r w:rsidR="00845C4C" w:rsidRPr="00702A1E">
              <w:rPr>
                <w:rFonts w:ascii="Times New Roman" w:hAnsi="Times New Roman" w:cs="Times New Roman"/>
                <w:iCs/>
              </w:rPr>
              <w:t>3,8</w:t>
            </w:r>
            <w:r w:rsidR="00091387" w:rsidRPr="00702A1E">
              <w:rPr>
                <w:rFonts w:ascii="Times New Roman" w:hAnsi="Times New Roman" w:cs="Times New Roman"/>
                <w:iCs/>
              </w:rPr>
              <w:t xml:space="preserve"> % ukupnog plana) i to za nabavu auto guma </w:t>
            </w:r>
            <w:r w:rsidR="00845C4C" w:rsidRPr="00702A1E">
              <w:rPr>
                <w:rFonts w:ascii="Times New Roman" w:hAnsi="Times New Roman" w:cs="Times New Roman"/>
                <w:iCs/>
              </w:rPr>
              <w:t>62.000,00</w:t>
            </w:r>
            <w:r w:rsidR="00091387" w:rsidRPr="00702A1E">
              <w:rPr>
                <w:rFonts w:ascii="Times New Roman" w:hAnsi="Times New Roman" w:cs="Times New Roman"/>
                <w:iCs/>
              </w:rPr>
              <w:t xml:space="preserve"> </w:t>
            </w:r>
            <w:r w:rsidR="00091387" w:rsidRPr="00702A1E">
              <w:rPr>
                <w:rFonts w:ascii="Times New Roman" w:eastAsia="Times New Roman" w:hAnsi="Times New Roman" w:cs="Times New Roman"/>
                <w:bCs/>
                <w:kern w:val="0"/>
                <w:lang w:eastAsia="ar-SA"/>
              </w:rPr>
              <w:t>€</w:t>
            </w:r>
            <w:r w:rsidR="00845C4C" w:rsidRPr="00702A1E">
              <w:rPr>
                <w:rFonts w:ascii="Times New Roman" w:eastAsia="Times New Roman" w:hAnsi="Times New Roman" w:cs="Times New Roman"/>
                <w:bCs/>
                <w:kern w:val="0"/>
                <w:lang w:eastAsia="ar-SA"/>
              </w:rPr>
              <w:t xml:space="preserve"> i službene radne odjeće 40.000,00 €, </w:t>
            </w:r>
            <w:r w:rsidR="00D5057C" w:rsidRPr="00702A1E">
              <w:rPr>
                <w:rFonts w:ascii="Times New Roman" w:eastAsia="Times New Roman" w:hAnsi="Times New Roman" w:cs="Times New Roman"/>
                <w:bCs/>
                <w:kern w:val="0"/>
                <w:lang w:eastAsia="ar-SA"/>
              </w:rPr>
              <w:t>za održavanje objekata, opreme i vozila  839.900,00 €,</w:t>
            </w:r>
            <w:r w:rsidR="00091387" w:rsidRPr="00702A1E">
              <w:rPr>
                <w:rFonts w:ascii="Times New Roman" w:hAnsi="Times New Roman" w:cs="Times New Roman"/>
                <w:iCs/>
              </w:rPr>
              <w:t xml:space="preserve"> zatim rashodi za nabavu </w:t>
            </w:r>
            <w:proofErr w:type="spellStart"/>
            <w:r w:rsidR="00091387" w:rsidRPr="00702A1E">
              <w:rPr>
                <w:rFonts w:ascii="Times New Roman" w:hAnsi="Times New Roman" w:cs="Times New Roman"/>
                <w:iCs/>
              </w:rPr>
              <w:t>neproizvedene</w:t>
            </w:r>
            <w:proofErr w:type="spellEnd"/>
            <w:r w:rsidR="00091387" w:rsidRPr="00702A1E">
              <w:rPr>
                <w:rFonts w:ascii="Times New Roman" w:hAnsi="Times New Roman" w:cs="Times New Roman"/>
                <w:iCs/>
              </w:rPr>
              <w:t xml:space="preserve"> dugotrajne imovine </w:t>
            </w:r>
            <w:r w:rsidR="007E28A5" w:rsidRPr="00702A1E">
              <w:rPr>
                <w:rFonts w:ascii="Times New Roman" w:hAnsi="Times New Roman" w:cs="Times New Roman"/>
                <w:iCs/>
              </w:rPr>
              <w:t xml:space="preserve">(licence) </w:t>
            </w:r>
            <w:r w:rsidR="00091387" w:rsidRPr="00702A1E">
              <w:rPr>
                <w:rFonts w:ascii="Times New Roman" w:hAnsi="Times New Roman" w:cs="Times New Roman"/>
                <w:iCs/>
              </w:rPr>
              <w:t xml:space="preserve">u iznosu od </w:t>
            </w:r>
            <w:r w:rsidR="00845C4C" w:rsidRPr="00702A1E">
              <w:rPr>
                <w:rFonts w:ascii="Times New Roman" w:hAnsi="Times New Roman" w:cs="Times New Roman"/>
                <w:iCs/>
              </w:rPr>
              <w:t>10.000,00</w:t>
            </w:r>
            <w:r w:rsidR="00091387" w:rsidRPr="00702A1E">
              <w:rPr>
                <w:rFonts w:ascii="Times New Roman" w:hAnsi="Times New Roman" w:cs="Times New Roman"/>
                <w:iCs/>
              </w:rPr>
              <w:t xml:space="preserve"> </w:t>
            </w:r>
            <w:r w:rsidR="00091387" w:rsidRPr="00702A1E">
              <w:rPr>
                <w:rFonts w:ascii="Times New Roman" w:eastAsia="Times New Roman" w:hAnsi="Times New Roman" w:cs="Times New Roman"/>
                <w:bCs/>
                <w:kern w:val="0"/>
                <w:lang w:eastAsia="ar-SA"/>
              </w:rPr>
              <w:t>€ (</w:t>
            </w:r>
            <w:r w:rsidR="00AB2826" w:rsidRPr="00702A1E">
              <w:rPr>
                <w:rFonts w:ascii="Times New Roman" w:eastAsia="Times New Roman" w:hAnsi="Times New Roman" w:cs="Times New Roman"/>
                <w:bCs/>
                <w:kern w:val="0"/>
                <w:lang w:eastAsia="ar-SA"/>
              </w:rPr>
              <w:t>0,04</w:t>
            </w:r>
            <w:r w:rsidR="00091387" w:rsidRPr="00702A1E">
              <w:rPr>
                <w:rFonts w:ascii="Times New Roman" w:eastAsia="Times New Roman" w:hAnsi="Times New Roman" w:cs="Times New Roman"/>
                <w:bCs/>
                <w:kern w:val="0"/>
                <w:lang w:eastAsia="ar-SA"/>
              </w:rPr>
              <w:t xml:space="preserve"> % ukupnog plana)</w:t>
            </w:r>
            <w:r w:rsidR="007E28A5" w:rsidRPr="00702A1E">
              <w:rPr>
                <w:rFonts w:ascii="Times New Roman" w:eastAsia="Times New Roman" w:hAnsi="Times New Roman" w:cs="Times New Roman"/>
                <w:bCs/>
                <w:kern w:val="0"/>
                <w:lang w:eastAsia="ar-SA"/>
              </w:rPr>
              <w:t>,</w:t>
            </w:r>
            <w:r w:rsidR="00091387" w:rsidRPr="00702A1E">
              <w:rPr>
                <w:rFonts w:ascii="Times New Roman" w:eastAsia="Times New Roman" w:hAnsi="Times New Roman" w:cs="Times New Roman"/>
                <w:bCs/>
                <w:kern w:val="0"/>
                <w:lang w:eastAsia="ar-SA"/>
              </w:rPr>
              <w:t xml:space="preserve"> te rashodi za nabavu proizvedene dugotrajne imovine u iznosu od </w:t>
            </w:r>
            <w:r w:rsidR="00845C4C" w:rsidRPr="00702A1E">
              <w:rPr>
                <w:rFonts w:ascii="Times New Roman" w:eastAsia="Times New Roman" w:hAnsi="Times New Roman" w:cs="Times New Roman"/>
                <w:bCs/>
                <w:kern w:val="0"/>
                <w:lang w:eastAsia="ar-SA"/>
              </w:rPr>
              <w:t>1.266.000,00</w:t>
            </w:r>
            <w:r w:rsidR="00091387" w:rsidRPr="00702A1E">
              <w:rPr>
                <w:rFonts w:ascii="Times New Roman" w:eastAsia="Times New Roman" w:hAnsi="Times New Roman" w:cs="Times New Roman"/>
                <w:bCs/>
                <w:kern w:val="0"/>
                <w:lang w:eastAsia="ar-SA"/>
              </w:rPr>
              <w:t xml:space="preserve"> € (</w:t>
            </w:r>
            <w:r w:rsidR="00AB2826" w:rsidRPr="00702A1E">
              <w:rPr>
                <w:rFonts w:ascii="Times New Roman" w:eastAsia="Times New Roman" w:hAnsi="Times New Roman" w:cs="Times New Roman"/>
                <w:bCs/>
                <w:kern w:val="0"/>
                <w:lang w:eastAsia="ar-SA"/>
              </w:rPr>
              <w:t>5,1</w:t>
            </w:r>
            <w:r w:rsidR="00091387" w:rsidRPr="00702A1E">
              <w:rPr>
                <w:rFonts w:ascii="Times New Roman" w:eastAsia="Times New Roman" w:hAnsi="Times New Roman" w:cs="Times New Roman"/>
                <w:bCs/>
                <w:kern w:val="0"/>
                <w:lang w:eastAsia="ar-SA"/>
              </w:rPr>
              <w:t xml:space="preserve"> % ukupnog plana) za nabavu vozila za izvanbolničku hitnu medicinu i sanitet </w:t>
            </w:r>
            <w:r w:rsidR="00AB2826" w:rsidRPr="00702A1E">
              <w:rPr>
                <w:rFonts w:ascii="Times New Roman" w:eastAsia="Times New Roman" w:hAnsi="Times New Roman" w:cs="Times New Roman"/>
                <w:bCs/>
                <w:kern w:val="0"/>
                <w:lang w:eastAsia="ar-SA"/>
              </w:rPr>
              <w:t>1.010.363,52</w:t>
            </w:r>
            <w:r w:rsidR="00091387" w:rsidRPr="00702A1E">
              <w:rPr>
                <w:rFonts w:ascii="Times New Roman" w:eastAsia="Times New Roman" w:hAnsi="Times New Roman" w:cs="Times New Roman"/>
                <w:bCs/>
                <w:kern w:val="0"/>
                <w:lang w:eastAsia="ar-SA"/>
              </w:rPr>
              <w:t xml:space="preserve"> € i za nabavu opreme </w:t>
            </w:r>
            <w:r w:rsidR="00AB2826" w:rsidRPr="00702A1E">
              <w:rPr>
                <w:rFonts w:ascii="Times New Roman" w:eastAsia="Times New Roman" w:hAnsi="Times New Roman" w:cs="Times New Roman"/>
                <w:bCs/>
                <w:kern w:val="0"/>
                <w:lang w:eastAsia="ar-SA"/>
              </w:rPr>
              <w:t>255.636,48</w:t>
            </w:r>
            <w:r w:rsidR="00091387" w:rsidRPr="00702A1E">
              <w:rPr>
                <w:rFonts w:ascii="Times New Roman" w:eastAsia="Times New Roman" w:hAnsi="Times New Roman" w:cs="Times New Roman"/>
                <w:bCs/>
                <w:kern w:val="0"/>
                <w:lang w:eastAsia="ar-SA"/>
              </w:rPr>
              <w:t xml:space="preserve"> €.</w:t>
            </w:r>
          </w:p>
          <w:p w14:paraId="5A7FE84F" w14:textId="03CCFF28" w:rsidR="00FA6BF1" w:rsidRPr="00702A1E" w:rsidRDefault="00091387" w:rsidP="00C97AA2">
            <w:pPr>
              <w:spacing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Planirana sredstva u 202</w:t>
            </w:r>
            <w:r w:rsidR="00677D04" w:rsidRPr="00702A1E">
              <w:rPr>
                <w:rFonts w:ascii="Times New Roman" w:eastAsia="Times New Roman" w:hAnsi="Times New Roman" w:cs="Times New Roman"/>
                <w:bCs/>
                <w:kern w:val="0"/>
                <w:lang w:eastAsia="ar-SA"/>
              </w:rPr>
              <w:t>5</w:t>
            </w:r>
            <w:r w:rsidRPr="00702A1E">
              <w:rPr>
                <w:rFonts w:ascii="Times New Roman" w:eastAsia="Times New Roman" w:hAnsi="Times New Roman" w:cs="Times New Roman"/>
                <w:bCs/>
                <w:kern w:val="0"/>
                <w:lang w:eastAsia="ar-SA"/>
              </w:rPr>
              <w:t xml:space="preserve">.g. ukupno su manja za </w:t>
            </w:r>
            <w:r w:rsidR="00677D04" w:rsidRPr="00702A1E">
              <w:rPr>
                <w:rFonts w:ascii="Times New Roman" w:eastAsia="Times New Roman" w:hAnsi="Times New Roman" w:cs="Times New Roman"/>
                <w:bCs/>
                <w:kern w:val="0"/>
                <w:lang w:eastAsia="ar-SA"/>
              </w:rPr>
              <w:t>12,3</w:t>
            </w:r>
            <w:r w:rsidRPr="00702A1E">
              <w:rPr>
                <w:rFonts w:ascii="Times New Roman" w:eastAsia="Times New Roman" w:hAnsi="Times New Roman" w:cs="Times New Roman"/>
                <w:bCs/>
                <w:kern w:val="0"/>
                <w:lang w:eastAsia="ar-SA"/>
              </w:rPr>
              <w:t xml:space="preserve"> % u odnosu na 202</w:t>
            </w:r>
            <w:r w:rsidR="00677D04"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 xml:space="preserve">.g. </w:t>
            </w:r>
            <w:r w:rsidR="00677D04" w:rsidRPr="00702A1E">
              <w:rPr>
                <w:rFonts w:ascii="Times New Roman" w:eastAsia="Times New Roman" w:hAnsi="Times New Roman" w:cs="Times New Roman"/>
                <w:bCs/>
                <w:kern w:val="0"/>
                <w:lang w:eastAsia="ar-SA"/>
              </w:rPr>
              <w:t xml:space="preserve">što je posljedica manje odobrenih sredstava iz matičnog proračuna SDŽ (manja su za 85,8% u odnosu na prethodnu godinu) i iz decentraliziranih sredstava (manja su za 1,7% u odnosu na </w:t>
            </w:r>
            <w:r w:rsidR="00801305" w:rsidRPr="00702A1E">
              <w:rPr>
                <w:rFonts w:ascii="Times New Roman" w:eastAsia="Times New Roman" w:hAnsi="Times New Roman" w:cs="Times New Roman"/>
                <w:bCs/>
                <w:kern w:val="0"/>
                <w:lang w:eastAsia="ar-SA"/>
              </w:rPr>
              <w:t>2024.g.</w:t>
            </w:r>
            <w:r w:rsidR="00677D04" w:rsidRPr="00702A1E">
              <w:rPr>
                <w:rFonts w:ascii="Times New Roman" w:eastAsia="Times New Roman" w:hAnsi="Times New Roman" w:cs="Times New Roman"/>
                <w:bCs/>
                <w:kern w:val="0"/>
                <w:lang w:eastAsia="ar-SA"/>
              </w:rPr>
              <w:t xml:space="preserve">). Istovremeno planira se povećanje prihoda iz vlastitih izvora (veći su za 3,6 % u odnosu na </w:t>
            </w:r>
            <w:r w:rsidR="00801305" w:rsidRPr="00702A1E">
              <w:rPr>
                <w:rFonts w:ascii="Times New Roman" w:eastAsia="Times New Roman" w:hAnsi="Times New Roman" w:cs="Times New Roman"/>
                <w:bCs/>
                <w:kern w:val="0"/>
                <w:lang w:eastAsia="ar-SA"/>
              </w:rPr>
              <w:t>2024.g.</w:t>
            </w:r>
            <w:r w:rsidR="00677D04" w:rsidRPr="00702A1E">
              <w:rPr>
                <w:rFonts w:ascii="Times New Roman" w:eastAsia="Times New Roman" w:hAnsi="Times New Roman" w:cs="Times New Roman"/>
                <w:bCs/>
                <w:kern w:val="0"/>
                <w:lang w:eastAsia="ar-SA"/>
              </w:rPr>
              <w:t xml:space="preserve">) i prihoda od prodaje dugotrajne imovine (veći su za 2,3 % u odnosu na </w:t>
            </w:r>
            <w:r w:rsidR="00801305" w:rsidRPr="00702A1E">
              <w:rPr>
                <w:rFonts w:ascii="Times New Roman" w:eastAsia="Times New Roman" w:hAnsi="Times New Roman" w:cs="Times New Roman"/>
                <w:bCs/>
                <w:kern w:val="0"/>
                <w:lang w:eastAsia="ar-SA"/>
              </w:rPr>
              <w:t>2024.g.</w:t>
            </w:r>
            <w:r w:rsidR="00677D04" w:rsidRPr="00702A1E">
              <w:rPr>
                <w:rFonts w:ascii="Times New Roman" w:eastAsia="Times New Roman" w:hAnsi="Times New Roman" w:cs="Times New Roman"/>
                <w:bCs/>
                <w:kern w:val="0"/>
                <w:lang w:eastAsia="ar-SA"/>
              </w:rPr>
              <w:t>).</w:t>
            </w:r>
            <w:r w:rsidRPr="00702A1E">
              <w:rPr>
                <w:rFonts w:ascii="Times New Roman" w:eastAsia="Times New Roman" w:hAnsi="Times New Roman" w:cs="Times New Roman"/>
                <w:bCs/>
                <w:kern w:val="0"/>
                <w:lang w:eastAsia="ar-SA"/>
              </w:rPr>
              <w:t xml:space="preserve"> </w:t>
            </w:r>
            <w:r w:rsidRPr="00702A1E">
              <w:rPr>
                <w:rFonts w:ascii="Times New Roman" w:hAnsi="Times New Roman" w:cs="Times New Roman"/>
                <w:iCs/>
              </w:rPr>
              <w:t>U 202</w:t>
            </w:r>
            <w:r w:rsidR="00677D04" w:rsidRPr="00702A1E">
              <w:rPr>
                <w:rFonts w:ascii="Times New Roman" w:hAnsi="Times New Roman" w:cs="Times New Roman"/>
                <w:iCs/>
              </w:rPr>
              <w:t>5</w:t>
            </w:r>
            <w:r w:rsidRPr="00702A1E">
              <w:rPr>
                <w:rFonts w:ascii="Times New Roman" w:hAnsi="Times New Roman" w:cs="Times New Roman"/>
                <w:iCs/>
              </w:rPr>
              <w:t xml:space="preserve">. godini materijalni rashodi planirani su u iznosu od </w:t>
            </w:r>
            <w:r w:rsidR="00801305" w:rsidRPr="00702A1E">
              <w:rPr>
                <w:rFonts w:ascii="Times New Roman" w:hAnsi="Times New Roman" w:cs="Times New Roman"/>
                <w:iCs/>
              </w:rPr>
              <w:t>1.034.400,00</w:t>
            </w:r>
            <w:r w:rsidRPr="00702A1E">
              <w:rPr>
                <w:rFonts w:ascii="Times New Roman" w:hAnsi="Times New Roman" w:cs="Times New Roman"/>
                <w:iCs/>
              </w:rPr>
              <w:t xml:space="preserve"> </w:t>
            </w:r>
            <w:r w:rsidRPr="00702A1E">
              <w:rPr>
                <w:rFonts w:ascii="Times New Roman" w:eastAsia="Times New Roman" w:hAnsi="Times New Roman" w:cs="Times New Roman"/>
                <w:bCs/>
                <w:kern w:val="0"/>
                <w:lang w:eastAsia="ar-SA"/>
              </w:rPr>
              <w:t>€ (</w:t>
            </w:r>
            <w:r w:rsidR="00801305" w:rsidRPr="00702A1E">
              <w:rPr>
                <w:rFonts w:ascii="Times New Roman" w:eastAsia="Times New Roman" w:hAnsi="Times New Roman" w:cs="Times New Roman"/>
                <w:bCs/>
                <w:kern w:val="0"/>
                <w:lang w:eastAsia="ar-SA"/>
              </w:rPr>
              <w:t xml:space="preserve">veći su </w:t>
            </w:r>
            <w:r w:rsidRPr="00702A1E">
              <w:rPr>
                <w:rFonts w:ascii="Times New Roman" w:eastAsia="Times New Roman" w:hAnsi="Times New Roman" w:cs="Times New Roman"/>
                <w:bCs/>
                <w:kern w:val="0"/>
                <w:lang w:eastAsia="ar-SA"/>
              </w:rPr>
              <w:t>za</w:t>
            </w:r>
            <w:r w:rsidRPr="00702A1E">
              <w:rPr>
                <w:rFonts w:ascii="Times New Roman" w:hAnsi="Times New Roman" w:cs="Times New Roman"/>
                <w:iCs/>
              </w:rPr>
              <w:t xml:space="preserve"> </w:t>
            </w:r>
            <w:r w:rsidR="00801305" w:rsidRPr="00702A1E">
              <w:rPr>
                <w:rFonts w:ascii="Times New Roman" w:hAnsi="Times New Roman" w:cs="Times New Roman"/>
                <w:iCs/>
              </w:rPr>
              <w:t>9,8</w:t>
            </w:r>
            <w:r w:rsidRPr="00702A1E">
              <w:rPr>
                <w:rFonts w:ascii="Times New Roman" w:hAnsi="Times New Roman" w:cs="Times New Roman"/>
                <w:iCs/>
              </w:rPr>
              <w:t xml:space="preserve"> % u odnosu na 202</w:t>
            </w:r>
            <w:r w:rsidR="00801305" w:rsidRPr="00702A1E">
              <w:rPr>
                <w:rFonts w:ascii="Times New Roman" w:hAnsi="Times New Roman" w:cs="Times New Roman"/>
                <w:iCs/>
              </w:rPr>
              <w:t>4</w:t>
            </w:r>
            <w:r w:rsidRPr="00702A1E">
              <w:rPr>
                <w:rFonts w:ascii="Times New Roman" w:hAnsi="Times New Roman" w:cs="Times New Roman"/>
                <w:iCs/>
              </w:rPr>
              <w:t xml:space="preserve">.g.), rashodi za nabavu </w:t>
            </w:r>
            <w:proofErr w:type="spellStart"/>
            <w:r w:rsidRPr="00702A1E">
              <w:rPr>
                <w:rFonts w:ascii="Times New Roman" w:hAnsi="Times New Roman" w:cs="Times New Roman"/>
                <w:iCs/>
              </w:rPr>
              <w:t>neproizvedene</w:t>
            </w:r>
            <w:proofErr w:type="spellEnd"/>
            <w:r w:rsidRPr="00702A1E">
              <w:rPr>
                <w:rFonts w:ascii="Times New Roman" w:hAnsi="Times New Roman" w:cs="Times New Roman"/>
                <w:iCs/>
              </w:rPr>
              <w:t xml:space="preserve"> dugotrajne imovine u iznosu od </w:t>
            </w:r>
            <w:r w:rsidR="00801305" w:rsidRPr="00702A1E">
              <w:rPr>
                <w:rFonts w:ascii="Times New Roman" w:hAnsi="Times New Roman" w:cs="Times New Roman"/>
                <w:iCs/>
              </w:rPr>
              <w:t>10.200,00</w:t>
            </w:r>
            <w:r w:rsidRPr="00702A1E">
              <w:rPr>
                <w:rFonts w:ascii="Times New Roman" w:hAnsi="Times New Roman" w:cs="Times New Roman"/>
                <w:iCs/>
              </w:rPr>
              <w:t xml:space="preserve"> </w:t>
            </w:r>
            <w:r w:rsidRPr="00702A1E">
              <w:rPr>
                <w:rFonts w:ascii="Times New Roman" w:eastAsia="Times New Roman" w:hAnsi="Times New Roman" w:cs="Times New Roman"/>
                <w:bCs/>
                <w:kern w:val="0"/>
                <w:lang w:eastAsia="ar-SA"/>
              </w:rPr>
              <w:t>€ (veći su za 2 % u odnosu na 202</w:t>
            </w:r>
            <w:r w:rsidR="00801305"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 xml:space="preserve">.g.) i rashodi za nabavu proizvedene dugotrajne imovine u iznosu od </w:t>
            </w:r>
            <w:r w:rsidR="00801305" w:rsidRPr="00702A1E">
              <w:rPr>
                <w:rFonts w:ascii="Times New Roman" w:eastAsia="Times New Roman" w:hAnsi="Times New Roman" w:cs="Times New Roman"/>
                <w:bCs/>
                <w:kern w:val="0"/>
                <w:lang w:eastAsia="ar-SA"/>
              </w:rPr>
              <w:t>900.800,00</w:t>
            </w:r>
            <w:r w:rsidRPr="00702A1E">
              <w:rPr>
                <w:rFonts w:ascii="Times New Roman" w:eastAsia="Times New Roman" w:hAnsi="Times New Roman" w:cs="Times New Roman"/>
                <w:bCs/>
                <w:kern w:val="0"/>
                <w:lang w:eastAsia="ar-SA"/>
              </w:rPr>
              <w:t xml:space="preserve"> € (manji su za </w:t>
            </w:r>
            <w:r w:rsidR="00801305" w:rsidRPr="00702A1E">
              <w:rPr>
                <w:rFonts w:ascii="Times New Roman" w:eastAsia="Times New Roman" w:hAnsi="Times New Roman" w:cs="Times New Roman"/>
                <w:bCs/>
                <w:kern w:val="0"/>
                <w:lang w:eastAsia="ar-SA"/>
              </w:rPr>
              <w:t>28,8</w:t>
            </w:r>
            <w:r w:rsidRPr="00702A1E">
              <w:rPr>
                <w:rFonts w:ascii="Times New Roman" w:eastAsia="Times New Roman" w:hAnsi="Times New Roman" w:cs="Times New Roman"/>
                <w:bCs/>
                <w:kern w:val="0"/>
                <w:lang w:eastAsia="ar-SA"/>
              </w:rPr>
              <w:t xml:space="preserve"> % u odnosu na 202</w:t>
            </w:r>
            <w:r w:rsidR="00801305"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 xml:space="preserve">.g.). </w:t>
            </w:r>
          </w:p>
          <w:p w14:paraId="77FFFC49" w14:textId="45496354" w:rsidR="00FA6BF1" w:rsidRPr="00702A1E" w:rsidRDefault="00091387" w:rsidP="00C97AA2">
            <w:pPr>
              <w:spacing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Planirana sredstva za ovu aktivnost u 202</w:t>
            </w:r>
            <w:r w:rsidR="00801305" w:rsidRPr="00702A1E">
              <w:rPr>
                <w:rFonts w:ascii="Times New Roman" w:eastAsia="Times New Roman" w:hAnsi="Times New Roman" w:cs="Times New Roman"/>
                <w:bCs/>
                <w:kern w:val="0"/>
                <w:lang w:eastAsia="ar-SA"/>
              </w:rPr>
              <w:t>6</w:t>
            </w:r>
            <w:r w:rsidRPr="00702A1E">
              <w:rPr>
                <w:rFonts w:ascii="Times New Roman" w:eastAsia="Times New Roman" w:hAnsi="Times New Roman" w:cs="Times New Roman"/>
                <w:bCs/>
                <w:kern w:val="0"/>
                <w:lang w:eastAsia="ar-SA"/>
              </w:rPr>
              <w:t xml:space="preserve">.g. ukupno su manja za </w:t>
            </w:r>
            <w:r w:rsidR="00801305" w:rsidRPr="00702A1E">
              <w:rPr>
                <w:rFonts w:ascii="Times New Roman" w:eastAsia="Times New Roman" w:hAnsi="Times New Roman" w:cs="Times New Roman"/>
                <w:bCs/>
                <w:kern w:val="0"/>
                <w:lang w:eastAsia="ar-SA"/>
              </w:rPr>
              <w:t>1,8</w:t>
            </w:r>
            <w:r w:rsidRPr="00702A1E">
              <w:rPr>
                <w:rFonts w:ascii="Times New Roman" w:eastAsia="Times New Roman" w:hAnsi="Times New Roman" w:cs="Times New Roman"/>
                <w:bCs/>
                <w:kern w:val="0"/>
                <w:lang w:eastAsia="ar-SA"/>
              </w:rPr>
              <w:t xml:space="preserve"> % u odnosu na 202</w:t>
            </w:r>
            <w:r w:rsidR="00801305" w:rsidRPr="00702A1E">
              <w:rPr>
                <w:rFonts w:ascii="Times New Roman" w:eastAsia="Times New Roman" w:hAnsi="Times New Roman" w:cs="Times New Roman"/>
                <w:bCs/>
                <w:kern w:val="0"/>
                <w:lang w:eastAsia="ar-SA"/>
              </w:rPr>
              <w:t>5</w:t>
            </w:r>
            <w:r w:rsidRPr="00702A1E">
              <w:rPr>
                <w:rFonts w:ascii="Times New Roman" w:eastAsia="Times New Roman" w:hAnsi="Times New Roman" w:cs="Times New Roman"/>
                <w:bCs/>
                <w:kern w:val="0"/>
                <w:lang w:eastAsia="ar-SA"/>
              </w:rPr>
              <w:t xml:space="preserve">.g. </w:t>
            </w:r>
            <w:r w:rsidR="0026160F" w:rsidRPr="00702A1E">
              <w:rPr>
                <w:rFonts w:ascii="Times New Roman" w:eastAsia="Times New Roman" w:hAnsi="Times New Roman" w:cs="Times New Roman"/>
                <w:bCs/>
                <w:kern w:val="0"/>
                <w:lang w:eastAsia="ar-SA"/>
              </w:rPr>
              <w:t>jer u 2026.g. iz proračuna SDŽ</w:t>
            </w:r>
            <w:r w:rsidR="00162E75" w:rsidRPr="00702A1E">
              <w:rPr>
                <w:rFonts w:ascii="Times New Roman" w:eastAsia="Times New Roman" w:hAnsi="Times New Roman" w:cs="Times New Roman"/>
                <w:bCs/>
                <w:kern w:val="0"/>
                <w:lang w:eastAsia="ar-SA"/>
              </w:rPr>
              <w:t xml:space="preserve"> nisu odobrena sredstva</w:t>
            </w:r>
            <w:r w:rsidR="00FC3B84" w:rsidRPr="00702A1E">
              <w:rPr>
                <w:rFonts w:ascii="Times New Roman" w:eastAsia="Times New Roman" w:hAnsi="Times New Roman" w:cs="Times New Roman"/>
                <w:bCs/>
                <w:kern w:val="0"/>
                <w:lang w:eastAsia="ar-SA"/>
              </w:rPr>
              <w:t xml:space="preserve"> za ovu namjenu</w:t>
            </w:r>
            <w:r w:rsidR="00162E75" w:rsidRPr="00702A1E">
              <w:rPr>
                <w:rFonts w:ascii="Times New Roman" w:eastAsia="Times New Roman" w:hAnsi="Times New Roman" w:cs="Times New Roman"/>
                <w:bCs/>
                <w:kern w:val="0"/>
                <w:lang w:eastAsia="ar-SA"/>
              </w:rPr>
              <w:t xml:space="preserve">. Prihod iz decentraliziranih sredstava je ostao u istom iznosu dok vlastiti prihodi i prihodi od prodaje su povećani za stopu inflacije. </w:t>
            </w:r>
            <w:r w:rsidRPr="00702A1E">
              <w:rPr>
                <w:rFonts w:ascii="Times New Roman" w:hAnsi="Times New Roman" w:cs="Times New Roman"/>
                <w:iCs/>
              </w:rPr>
              <w:t>U 202</w:t>
            </w:r>
            <w:r w:rsidR="00162E75" w:rsidRPr="00702A1E">
              <w:rPr>
                <w:rFonts w:ascii="Times New Roman" w:hAnsi="Times New Roman" w:cs="Times New Roman"/>
                <w:iCs/>
              </w:rPr>
              <w:t>6</w:t>
            </w:r>
            <w:r w:rsidRPr="00702A1E">
              <w:rPr>
                <w:rFonts w:ascii="Times New Roman" w:hAnsi="Times New Roman" w:cs="Times New Roman"/>
                <w:iCs/>
              </w:rPr>
              <w:t xml:space="preserve">. godini materijalni rashodi </w:t>
            </w:r>
            <w:r w:rsidR="00162E75" w:rsidRPr="00702A1E">
              <w:rPr>
                <w:rFonts w:ascii="Times New Roman" w:hAnsi="Times New Roman" w:cs="Times New Roman"/>
                <w:iCs/>
              </w:rPr>
              <w:t>planirani su u iznosu od 1.137.900,00 €</w:t>
            </w:r>
            <w:r w:rsidR="00FC3B84" w:rsidRPr="00702A1E">
              <w:rPr>
                <w:rFonts w:ascii="Times New Roman" w:hAnsi="Times New Roman" w:cs="Times New Roman"/>
                <w:iCs/>
              </w:rPr>
              <w:t xml:space="preserve"> (veći su za 10 % u odnosu na 2025.g.)</w:t>
            </w:r>
            <w:r w:rsidR="00162E75" w:rsidRPr="00702A1E">
              <w:rPr>
                <w:rFonts w:ascii="Times New Roman" w:hAnsi="Times New Roman" w:cs="Times New Roman"/>
                <w:iCs/>
              </w:rPr>
              <w:t xml:space="preserve">, rashodi za nabavu </w:t>
            </w:r>
            <w:proofErr w:type="spellStart"/>
            <w:r w:rsidR="00162E75" w:rsidRPr="00702A1E">
              <w:rPr>
                <w:rFonts w:ascii="Times New Roman" w:hAnsi="Times New Roman" w:cs="Times New Roman"/>
                <w:iCs/>
              </w:rPr>
              <w:t>neproizvedene</w:t>
            </w:r>
            <w:proofErr w:type="spellEnd"/>
            <w:r w:rsidR="00162E75" w:rsidRPr="00702A1E">
              <w:rPr>
                <w:rFonts w:ascii="Times New Roman" w:hAnsi="Times New Roman" w:cs="Times New Roman"/>
                <w:iCs/>
              </w:rPr>
              <w:t xml:space="preserve"> dugotrajne imovine u iznosu od 10.400,00 €</w:t>
            </w:r>
            <w:r w:rsidR="00FC3B84" w:rsidRPr="00702A1E">
              <w:rPr>
                <w:rFonts w:ascii="Times New Roman" w:hAnsi="Times New Roman" w:cs="Times New Roman"/>
                <w:iCs/>
              </w:rPr>
              <w:t xml:space="preserve"> (veći su za 2% u odnosu na 2025.g.) te</w:t>
            </w:r>
            <w:r w:rsidR="00162E75" w:rsidRPr="00702A1E">
              <w:rPr>
                <w:rFonts w:ascii="Times New Roman" w:hAnsi="Times New Roman" w:cs="Times New Roman"/>
                <w:iCs/>
              </w:rPr>
              <w:t xml:space="preserve"> </w:t>
            </w:r>
            <w:r w:rsidRPr="00702A1E">
              <w:rPr>
                <w:rFonts w:ascii="Times New Roman" w:hAnsi="Times New Roman" w:cs="Times New Roman"/>
                <w:iCs/>
              </w:rPr>
              <w:t xml:space="preserve">rashodi za nabavu </w:t>
            </w:r>
            <w:r w:rsidR="00162E75" w:rsidRPr="00702A1E">
              <w:rPr>
                <w:rFonts w:ascii="Times New Roman" w:hAnsi="Times New Roman" w:cs="Times New Roman"/>
                <w:iCs/>
              </w:rPr>
              <w:t>p</w:t>
            </w:r>
            <w:r w:rsidRPr="00702A1E">
              <w:rPr>
                <w:rFonts w:ascii="Times New Roman" w:hAnsi="Times New Roman" w:cs="Times New Roman"/>
                <w:iCs/>
              </w:rPr>
              <w:t xml:space="preserve">roizvedene dugotrajne imovine </w:t>
            </w:r>
            <w:r w:rsidR="00162E75" w:rsidRPr="00702A1E">
              <w:rPr>
                <w:rFonts w:ascii="Times New Roman" w:hAnsi="Times New Roman" w:cs="Times New Roman"/>
                <w:iCs/>
              </w:rPr>
              <w:t xml:space="preserve">u iznosu od </w:t>
            </w:r>
            <w:r w:rsidR="00FC3B84" w:rsidRPr="00702A1E">
              <w:rPr>
                <w:rFonts w:ascii="Times New Roman" w:hAnsi="Times New Roman" w:cs="Times New Roman"/>
                <w:iCs/>
              </w:rPr>
              <w:t>762.000,00 € (manji su za 15,4 % u odnosu na 2025.g.).</w:t>
            </w:r>
            <w:r w:rsidRPr="00702A1E">
              <w:rPr>
                <w:rFonts w:ascii="Times New Roman" w:eastAsia="Times New Roman" w:hAnsi="Times New Roman" w:cs="Times New Roman"/>
                <w:bCs/>
                <w:kern w:val="0"/>
                <w:lang w:eastAsia="ar-SA"/>
              </w:rPr>
              <w:t xml:space="preserve"> </w:t>
            </w:r>
          </w:p>
        </w:tc>
      </w:tr>
      <w:tr w:rsidR="00FA6BF1" w:rsidRPr="00702A1E" w14:paraId="73038871" w14:textId="77777777">
        <w:trPr>
          <w:trHeight w:val="257"/>
        </w:trPr>
        <w:tc>
          <w:tcPr>
            <w:tcW w:w="940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356" w:type="dxa"/>
              <w:tblLayout w:type="fixed"/>
              <w:tblCellMar>
                <w:left w:w="10" w:type="dxa"/>
                <w:right w:w="10" w:type="dxa"/>
              </w:tblCellMar>
              <w:tblLook w:val="04A0" w:firstRow="1" w:lastRow="0" w:firstColumn="1" w:lastColumn="0" w:noHBand="0" w:noVBand="1"/>
            </w:tblPr>
            <w:tblGrid>
              <w:gridCol w:w="1707"/>
              <w:gridCol w:w="1545"/>
              <w:gridCol w:w="1568"/>
              <w:gridCol w:w="1559"/>
              <w:gridCol w:w="1554"/>
              <w:gridCol w:w="1423"/>
            </w:tblGrid>
            <w:tr w:rsidR="00820E7E" w:rsidRPr="00702A1E" w14:paraId="3EBA9BA8" w14:textId="77777777" w:rsidTr="00702A1E">
              <w:trPr>
                <w:trHeight w:val="219"/>
              </w:trPr>
              <w:tc>
                <w:tcPr>
                  <w:tcW w:w="17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675BA22" w14:textId="65E92022" w:rsidR="00820E7E" w:rsidRPr="00702A1E" w:rsidRDefault="00820E7E" w:rsidP="00820E7E">
                  <w:pPr>
                    <w:pStyle w:val="Standard"/>
                    <w:spacing w:line="276" w:lineRule="auto"/>
                    <w:jc w:val="center"/>
                    <w:rPr>
                      <w:sz w:val="22"/>
                      <w:szCs w:val="22"/>
                    </w:rPr>
                  </w:pPr>
                  <w:r w:rsidRPr="00702A1E">
                    <w:rPr>
                      <w:b/>
                      <w:bCs/>
                      <w:color w:val="000000"/>
                      <w:sz w:val="22"/>
                      <w:szCs w:val="22"/>
                    </w:rPr>
                    <w:t>Izvršeno 2022.</w:t>
                  </w:r>
                </w:p>
              </w:tc>
              <w:tc>
                <w:tcPr>
                  <w:tcW w:w="154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D726CBD" w14:textId="76C8D944" w:rsidR="00820E7E" w:rsidRPr="00702A1E" w:rsidRDefault="00820E7E" w:rsidP="00820E7E">
                  <w:pPr>
                    <w:pStyle w:val="Standard"/>
                    <w:spacing w:line="276" w:lineRule="auto"/>
                    <w:jc w:val="center"/>
                    <w:rPr>
                      <w:sz w:val="22"/>
                      <w:szCs w:val="22"/>
                    </w:rPr>
                  </w:pPr>
                  <w:r>
                    <w:rPr>
                      <w:b/>
                      <w:bCs/>
                      <w:color w:val="000000"/>
                      <w:sz w:val="22"/>
                      <w:szCs w:val="22"/>
                    </w:rPr>
                    <w:t>Financijski plan</w:t>
                  </w:r>
                  <w:r w:rsidRPr="00702A1E">
                    <w:rPr>
                      <w:b/>
                      <w:bCs/>
                      <w:color w:val="000000"/>
                      <w:sz w:val="22"/>
                      <w:szCs w:val="22"/>
                    </w:rPr>
                    <w:t xml:space="preserve"> 2023.</w:t>
                  </w:r>
                </w:p>
              </w:tc>
              <w:tc>
                <w:tcPr>
                  <w:tcW w:w="156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9C265F5" w14:textId="53AF68F7" w:rsidR="00820E7E" w:rsidRPr="00702A1E" w:rsidRDefault="00820E7E" w:rsidP="00820E7E">
                  <w:pPr>
                    <w:pStyle w:val="Standard"/>
                    <w:spacing w:line="276" w:lineRule="auto"/>
                    <w:jc w:val="center"/>
                    <w:rPr>
                      <w:sz w:val="22"/>
                      <w:szCs w:val="22"/>
                    </w:rPr>
                  </w:pPr>
                  <w:r w:rsidRPr="00702A1E">
                    <w:rPr>
                      <w:b/>
                      <w:bCs/>
                      <w:color w:val="000000"/>
                      <w:sz w:val="22"/>
                      <w:szCs w:val="22"/>
                    </w:rPr>
                    <w:t>I</w:t>
                  </w:r>
                  <w:r>
                    <w:rPr>
                      <w:b/>
                      <w:bCs/>
                      <w:color w:val="000000"/>
                      <w:sz w:val="22"/>
                      <w:szCs w:val="22"/>
                    </w:rPr>
                    <w:t>I</w:t>
                  </w:r>
                  <w:r w:rsidRPr="00702A1E">
                    <w:rPr>
                      <w:b/>
                      <w:bCs/>
                      <w:color w:val="000000"/>
                      <w:sz w:val="22"/>
                      <w:szCs w:val="22"/>
                    </w:rPr>
                    <w:t>. Rebalans 2023.€</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1CE0C93" w14:textId="6ADEB205" w:rsidR="00820E7E" w:rsidRPr="00702A1E" w:rsidRDefault="00820E7E" w:rsidP="00820E7E">
                  <w:pPr>
                    <w:pStyle w:val="Standard"/>
                    <w:spacing w:line="276" w:lineRule="auto"/>
                    <w:jc w:val="center"/>
                    <w:rPr>
                      <w:sz w:val="22"/>
                      <w:szCs w:val="22"/>
                    </w:rPr>
                  </w:pPr>
                  <w:r w:rsidRPr="00702A1E">
                    <w:rPr>
                      <w:b/>
                      <w:bCs/>
                      <w:color w:val="000000"/>
                      <w:sz w:val="22"/>
                      <w:szCs w:val="22"/>
                    </w:rPr>
                    <w:t>Plan 2024.</w:t>
                  </w:r>
                </w:p>
              </w:tc>
              <w:tc>
                <w:tcPr>
                  <w:tcW w:w="1554"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8C50917" w14:textId="7C60691E" w:rsidR="00820E7E" w:rsidRPr="00702A1E" w:rsidRDefault="00820E7E" w:rsidP="00820E7E">
                  <w:pPr>
                    <w:pStyle w:val="Standard"/>
                    <w:spacing w:line="276" w:lineRule="auto"/>
                    <w:jc w:val="center"/>
                    <w:rPr>
                      <w:sz w:val="22"/>
                      <w:szCs w:val="22"/>
                    </w:rPr>
                  </w:pPr>
                  <w:r w:rsidRPr="00702A1E">
                    <w:rPr>
                      <w:b/>
                      <w:bCs/>
                      <w:color w:val="000000"/>
                      <w:sz w:val="22"/>
                      <w:szCs w:val="22"/>
                    </w:rPr>
                    <w:t>Projekcija 2025.</w:t>
                  </w:r>
                </w:p>
              </w:tc>
              <w:tc>
                <w:tcPr>
                  <w:tcW w:w="142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9FA9F36" w14:textId="19AD951E" w:rsidR="00820E7E" w:rsidRPr="00702A1E" w:rsidRDefault="00820E7E" w:rsidP="00820E7E">
                  <w:pPr>
                    <w:pStyle w:val="Standard"/>
                    <w:spacing w:line="276" w:lineRule="auto"/>
                    <w:jc w:val="center"/>
                    <w:rPr>
                      <w:sz w:val="22"/>
                      <w:szCs w:val="22"/>
                    </w:rPr>
                  </w:pPr>
                  <w:r w:rsidRPr="00702A1E">
                    <w:rPr>
                      <w:b/>
                      <w:bCs/>
                      <w:color w:val="000000"/>
                      <w:sz w:val="22"/>
                      <w:szCs w:val="22"/>
                    </w:rPr>
                    <w:t>Projekcija 2026.</w:t>
                  </w:r>
                </w:p>
              </w:tc>
            </w:tr>
            <w:tr w:rsidR="00820E7E" w:rsidRPr="00702A1E" w14:paraId="072C8076" w14:textId="77777777" w:rsidTr="00702A1E">
              <w:trPr>
                <w:trHeight w:val="219"/>
              </w:trPr>
              <w:tc>
                <w:tcPr>
                  <w:tcW w:w="17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F248FC" w14:textId="2063FC6D" w:rsidR="00820E7E" w:rsidRPr="00702A1E" w:rsidRDefault="00820E7E" w:rsidP="00820E7E">
                  <w:pPr>
                    <w:pStyle w:val="Standard"/>
                    <w:spacing w:line="276" w:lineRule="auto"/>
                    <w:jc w:val="right"/>
                    <w:rPr>
                      <w:b/>
                      <w:bCs/>
                      <w:sz w:val="22"/>
                      <w:szCs w:val="22"/>
                    </w:rPr>
                  </w:pPr>
                  <w:r w:rsidRPr="00702A1E">
                    <w:rPr>
                      <w:b/>
                      <w:bCs/>
                      <w:sz w:val="22"/>
                      <w:szCs w:val="22"/>
                    </w:rPr>
                    <w:t>1.149.290,16 €</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6B3ED" w14:textId="0FAD3F89" w:rsidR="00820E7E" w:rsidRPr="00702A1E" w:rsidRDefault="00820E7E" w:rsidP="00820E7E">
                  <w:pPr>
                    <w:pStyle w:val="Standard"/>
                    <w:spacing w:line="276" w:lineRule="auto"/>
                    <w:jc w:val="right"/>
                    <w:rPr>
                      <w:b/>
                      <w:bCs/>
                      <w:sz w:val="22"/>
                      <w:szCs w:val="22"/>
                    </w:rPr>
                  </w:pPr>
                  <w:r w:rsidRPr="00702A1E">
                    <w:rPr>
                      <w:b/>
                      <w:bCs/>
                      <w:sz w:val="22"/>
                      <w:szCs w:val="22"/>
                    </w:rPr>
                    <w:t>1.907.643,11 €</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9176C5" w14:textId="4BC3F651" w:rsidR="00820E7E" w:rsidRPr="00702A1E" w:rsidRDefault="00820E7E" w:rsidP="00820E7E">
                  <w:pPr>
                    <w:pStyle w:val="Standard"/>
                    <w:spacing w:line="276" w:lineRule="auto"/>
                    <w:jc w:val="right"/>
                    <w:rPr>
                      <w:b/>
                      <w:bCs/>
                      <w:sz w:val="22"/>
                      <w:szCs w:val="22"/>
                    </w:rPr>
                  </w:pPr>
                  <w:r w:rsidRPr="00702A1E">
                    <w:rPr>
                      <w:b/>
                      <w:bCs/>
                      <w:sz w:val="22"/>
                      <w:szCs w:val="22"/>
                    </w:rPr>
                    <w:t>1.9</w:t>
                  </w:r>
                  <w:r w:rsidR="00487224">
                    <w:rPr>
                      <w:b/>
                      <w:bCs/>
                      <w:sz w:val="22"/>
                      <w:szCs w:val="22"/>
                    </w:rPr>
                    <w:t>41.712,06</w:t>
                  </w:r>
                  <w:r w:rsidRPr="00702A1E">
                    <w:rPr>
                      <w:b/>
                      <w:bCs/>
                      <w:sz w:val="22"/>
                      <w:szCs w:val="22"/>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863E15" w14:textId="60E2473F" w:rsidR="00820E7E" w:rsidRPr="00702A1E" w:rsidRDefault="00820E7E" w:rsidP="00820E7E">
                  <w:pPr>
                    <w:pStyle w:val="Standard"/>
                    <w:spacing w:line="276" w:lineRule="auto"/>
                    <w:jc w:val="right"/>
                    <w:rPr>
                      <w:b/>
                      <w:bCs/>
                      <w:sz w:val="22"/>
                      <w:szCs w:val="22"/>
                    </w:rPr>
                  </w:pPr>
                  <w:r w:rsidRPr="00702A1E">
                    <w:rPr>
                      <w:b/>
                      <w:bCs/>
                      <w:sz w:val="22"/>
                      <w:szCs w:val="22"/>
                    </w:rPr>
                    <w:t>2.217.900,00 €</w:t>
                  </w:r>
                </w:p>
              </w:tc>
              <w:tc>
                <w:tcPr>
                  <w:tcW w:w="15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086F4A" w14:textId="5D446102" w:rsidR="00820E7E" w:rsidRPr="00702A1E" w:rsidRDefault="00820E7E" w:rsidP="00820E7E">
                  <w:pPr>
                    <w:pStyle w:val="Standard"/>
                    <w:spacing w:line="276" w:lineRule="auto"/>
                    <w:jc w:val="right"/>
                    <w:rPr>
                      <w:b/>
                      <w:bCs/>
                      <w:sz w:val="22"/>
                      <w:szCs w:val="22"/>
                    </w:rPr>
                  </w:pPr>
                  <w:r w:rsidRPr="00702A1E">
                    <w:rPr>
                      <w:b/>
                      <w:bCs/>
                      <w:sz w:val="22"/>
                      <w:szCs w:val="22"/>
                    </w:rPr>
                    <w:t>1.945.400,00 €</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A2448C" w14:textId="77349EEC" w:rsidR="00820E7E" w:rsidRPr="00702A1E" w:rsidRDefault="00820E7E" w:rsidP="00820E7E">
                  <w:pPr>
                    <w:pStyle w:val="Standard"/>
                    <w:spacing w:line="276" w:lineRule="auto"/>
                    <w:jc w:val="right"/>
                    <w:rPr>
                      <w:b/>
                      <w:bCs/>
                      <w:sz w:val="20"/>
                      <w:szCs w:val="20"/>
                    </w:rPr>
                  </w:pPr>
                  <w:r w:rsidRPr="00702A1E">
                    <w:rPr>
                      <w:b/>
                      <w:bCs/>
                      <w:sz w:val="20"/>
                      <w:szCs w:val="20"/>
                    </w:rPr>
                    <w:t>1.910.300,00 €</w:t>
                  </w:r>
                </w:p>
              </w:tc>
            </w:tr>
          </w:tbl>
          <w:p w14:paraId="5148DAED" w14:textId="77777777" w:rsidR="00FA6BF1" w:rsidRPr="00702A1E" w:rsidRDefault="00FA6BF1">
            <w:pPr>
              <w:pStyle w:val="Standard"/>
              <w:spacing w:line="276" w:lineRule="auto"/>
              <w:rPr>
                <w:bCs/>
                <w:color w:val="000000"/>
                <w:sz w:val="22"/>
                <w:szCs w:val="22"/>
                <w:lang w:eastAsia="en-US"/>
              </w:rPr>
            </w:pPr>
          </w:p>
        </w:tc>
      </w:tr>
      <w:tr w:rsidR="00FA6BF1" w:rsidRPr="00702A1E" w14:paraId="4CF895D8" w14:textId="77777777" w:rsidTr="00C97AA2">
        <w:trPr>
          <w:trHeight w:val="25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A56A61E" w14:textId="77777777" w:rsidR="00C97AA2" w:rsidRDefault="00C97AA2">
            <w:pPr>
              <w:pStyle w:val="Standard"/>
              <w:spacing w:line="276" w:lineRule="auto"/>
              <w:rPr>
                <w:b/>
                <w:color w:val="000000"/>
                <w:sz w:val="22"/>
                <w:szCs w:val="22"/>
                <w:lang w:eastAsia="en-US"/>
              </w:rPr>
            </w:pPr>
          </w:p>
          <w:p w14:paraId="699648CA" w14:textId="4C58EBB0" w:rsidR="00FA6BF1" w:rsidRPr="00702A1E" w:rsidRDefault="00091387">
            <w:pPr>
              <w:pStyle w:val="Standard"/>
              <w:spacing w:line="276" w:lineRule="auto"/>
              <w:rPr>
                <w:sz w:val="22"/>
                <w:szCs w:val="22"/>
              </w:rPr>
            </w:pPr>
            <w:r w:rsidRPr="00702A1E">
              <w:rPr>
                <w:b/>
                <w:color w:val="000000"/>
                <w:sz w:val="22"/>
                <w:szCs w:val="22"/>
                <w:lang w:eastAsia="en-US"/>
              </w:rPr>
              <w:t>Obrazloženja odstupanja od projekcija za 202</w:t>
            </w:r>
            <w:r w:rsidR="004D22C2" w:rsidRPr="00702A1E">
              <w:rPr>
                <w:b/>
                <w:color w:val="000000"/>
                <w:sz w:val="22"/>
                <w:szCs w:val="22"/>
                <w:lang w:eastAsia="en-US"/>
              </w:rPr>
              <w:t>4</w:t>
            </w:r>
            <w:r w:rsidRPr="00702A1E">
              <w:rPr>
                <w:b/>
                <w:color w:val="000000"/>
                <w:sz w:val="22"/>
                <w:szCs w:val="22"/>
                <w:lang w:eastAsia="en-US"/>
              </w:rPr>
              <w:t>. i 202</w:t>
            </w:r>
            <w:r w:rsidR="004D22C2" w:rsidRPr="00702A1E">
              <w:rPr>
                <w:b/>
                <w:color w:val="000000"/>
                <w:sz w:val="22"/>
                <w:szCs w:val="22"/>
                <w:lang w:eastAsia="en-US"/>
              </w:rPr>
              <w:t>5</w:t>
            </w:r>
            <w:r w:rsidRPr="00702A1E">
              <w:rPr>
                <w:b/>
                <w:color w:val="000000"/>
                <w:sz w:val="22"/>
                <w:szCs w:val="22"/>
                <w:lang w:eastAsia="en-US"/>
              </w:rPr>
              <w:t>. usvojenih u prošlogodišnjem Proračunu</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736365" w14:textId="77777777" w:rsidR="00FA6BF1" w:rsidRPr="00702A1E" w:rsidRDefault="00FA6BF1">
            <w:pPr>
              <w:pStyle w:val="Standard"/>
              <w:rPr>
                <w:i/>
                <w:color w:val="FF0000"/>
                <w:sz w:val="22"/>
                <w:szCs w:val="22"/>
              </w:rPr>
            </w:pPr>
          </w:p>
          <w:p w14:paraId="1C63CAA9" w14:textId="7168B2F6" w:rsidR="00E60C7B" w:rsidRPr="00702A1E" w:rsidRDefault="00091387" w:rsidP="0074131A">
            <w:pPr>
              <w:pStyle w:val="Standard"/>
              <w:jc w:val="both"/>
              <w:rPr>
                <w:iCs/>
                <w:sz w:val="22"/>
                <w:szCs w:val="22"/>
              </w:rPr>
            </w:pPr>
            <w:r w:rsidRPr="00702A1E">
              <w:rPr>
                <w:iCs/>
                <w:sz w:val="22"/>
                <w:szCs w:val="22"/>
              </w:rPr>
              <w:t>U odnosu na prošlogodišnje projekcije ova aktivnost je u 202</w:t>
            </w:r>
            <w:r w:rsidR="00E60C7B" w:rsidRPr="00702A1E">
              <w:rPr>
                <w:iCs/>
                <w:sz w:val="22"/>
                <w:szCs w:val="22"/>
              </w:rPr>
              <w:t>4</w:t>
            </w:r>
            <w:r w:rsidRPr="00702A1E">
              <w:rPr>
                <w:iCs/>
                <w:sz w:val="22"/>
                <w:szCs w:val="22"/>
              </w:rPr>
              <w:t xml:space="preserve">.g. </w:t>
            </w:r>
            <w:r w:rsidR="00E60C7B" w:rsidRPr="00702A1E">
              <w:rPr>
                <w:iCs/>
                <w:sz w:val="22"/>
                <w:szCs w:val="22"/>
              </w:rPr>
              <w:t xml:space="preserve">veća </w:t>
            </w:r>
            <w:r w:rsidRPr="00702A1E">
              <w:rPr>
                <w:iCs/>
                <w:sz w:val="22"/>
                <w:szCs w:val="22"/>
              </w:rPr>
              <w:t xml:space="preserve">za </w:t>
            </w:r>
            <w:r w:rsidR="00E60C7B" w:rsidRPr="00702A1E">
              <w:rPr>
                <w:iCs/>
                <w:sz w:val="22"/>
                <w:szCs w:val="22"/>
              </w:rPr>
              <w:t>49,9</w:t>
            </w:r>
            <w:r w:rsidRPr="00702A1E">
              <w:rPr>
                <w:iCs/>
                <w:sz w:val="22"/>
                <w:szCs w:val="22"/>
              </w:rPr>
              <w:t xml:space="preserve"> %, </w:t>
            </w:r>
            <w:r w:rsidR="00E60C7B" w:rsidRPr="00702A1E">
              <w:rPr>
                <w:iCs/>
                <w:sz w:val="22"/>
                <w:szCs w:val="22"/>
              </w:rPr>
              <w:t>a u</w:t>
            </w:r>
            <w:r w:rsidRPr="00702A1E">
              <w:rPr>
                <w:iCs/>
                <w:sz w:val="22"/>
                <w:szCs w:val="22"/>
              </w:rPr>
              <w:t xml:space="preserve"> 202</w:t>
            </w:r>
            <w:r w:rsidR="00E60C7B" w:rsidRPr="00702A1E">
              <w:rPr>
                <w:iCs/>
                <w:sz w:val="22"/>
                <w:szCs w:val="22"/>
              </w:rPr>
              <w:t>5</w:t>
            </w:r>
            <w:r w:rsidRPr="00702A1E">
              <w:rPr>
                <w:iCs/>
                <w:sz w:val="22"/>
                <w:szCs w:val="22"/>
              </w:rPr>
              <w:t xml:space="preserve">.g.  </w:t>
            </w:r>
            <w:r w:rsidR="00E60C7B" w:rsidRPr="00702A1E">
              <w:rPr>
                <w:iCs/>
                <w:sz w:val="22"/>
                <w:szCs w:val="22"/>
              </w:rPr>
              <w:t>je veća za 37,3 %.</w:t>
            </w:r>
            <w:r w:rsidRPr="00702A1E">
              <w:rPr>
                <w:iCs/>
                <w:sz w:val="22"/>
                <w:szCs w:val="22"/>
              </w:rPr>
              <w:t xml:space="preserve"> Razlog značajnog povećanja u 202</w:t>
            </w:r>
            <w:r w:rsidR="00E60C7B" w:rsidRPr="00702A1E">
              <w:rPr>
                <w:iCs/>
                <w:sz w:val="22"/>
                <w:szCs w:val="22"/>
              </w:rPr>
              <w:t>4</w:t>
            </w:r>
            <w:r w:rsidRPr="00702A1E">
              <w:rPr>
                <w:iCs/>
                <w:sz w:val="22"/>
                <w:szCs w:val="22"/>
              </w:rPr>
              <w:t>.g. je</w:t>
            </w:r>
            <w:r w:rsidR="003C1D10" w:rsidRPr="00702A1E">
              <w:rPr>
                <w:iCs/>
                <w:sz w:val="22"/>
                <w:szCs w:val="22"/>
              </w:rPr>
              <w:t xml:space="preserve"> u </w:t>
            </w:r>
            <w:r w:rsidR="00E60C7B" w:rsidRPr="00702A1E">
              <w:rPr>
                <w:iCs/>
                <w:sz w:val="22"/>
                <w:szCs w:val="22"/>
              </w:rPr>
              <w:t>odobrenju</w:t>
            </w:r>
            <w:r w:rsidR="003C1D10" w:rsidRPr="00702A1E">
              <w:rPr>
                <w:iCs/>
                <w:sz w:val="22"/>
                <w:szCs w:val="22"/>
              </w:rPr>
              <w:t xml:space="preserve"> sredstava  iz Proračuna SDŽ i iz decentralizacije za nabavu vozila i opreme. Također, planirano je više vlastitih sredstava za nabavu opreme. U 2025.g. </w:t>
            </w:r>
            <w:r w:rsidR="003706A3" w:rsidRPr="00702A1E">
              <w:rPr>
                <w:iCs/>
                <w:sz w:val="22"/>
                <w:szCs w:val="22"/>
              </w:rPr>
              <w:t xml:space="preserve">povećanje je posljedica više planiranih sredstava iz decentraliziranih i vlastitih izvora jer su veće potrebe </w:t>
            </w:r>
            <w:r w:rsidR="00FA03DA" w:rsidRPr="00702A1E">
              <w:rPr>
                <w:iCs/>
                <w:sz w:val="22"/>
                <w:szCs w:val="22"/>
              </w:rPr>
              <w:t>obnove</w:t>
            </w:r>
            <w:r w:rsidR="00530DEF" w:rsidRPr="00702A1E">
              <w:rPr>
                <w:iCs/>
                <w:sz w:val="22"/>
                <w:szCs w:val="22"/>
              </w:rPr>
              <w:t xml:space="preserve"> voznog parka i opreme</w:t>
            </w:r>
            <w:r w:rsidR="003706A3" w:rsidRPr="00702A1E">
              <w:rPr>
                <w:iCs/>
                <w:sz w:val="22"/>
                <w:szCs w:val="22"/>
              </w:rPr>
              <w:t xml:space="preserve"> ali i povećan</w:t>
            </w:r>
            <w:r w:rsidR="00530DEF" w:rsidRPr="00702A1E">
              <w:rPr>
                <w:iCs/>
                <w:sz w:val="22"/>
                <w:szCs w:val="22"/>
              </w:rPr>
              <w:t>j</w:t>
            </w:r>
            <w:r w:rsidR="003706A3" w:rsidRPr="00702A1E">
              <w:rPr>
                <w:iCs/>
                <w:sz w:val="22"/>
                <w:szCs w:val="22"/>
              </w:rPr>
              <w:t>a cijena</w:t>
            </w:r>
            <w:r w:rsidR="00530DEF" w:rsidRPr="00702A1E">
              <w:rPr>
                <w:iCs/>
                <w:sz w:val="22"/>
                <w:szCs w:val="22"/>
              </w:rPr>
              <w:t xml:space="preserve"> na tržištu</w:t>
            </w:r>
            <w:r w:rsidR="003706A3" w:rsidRPr="00702A1E">
              <w:rPr>
                <w:iCs/>
                <w:sz w:val="22"/>
                <w:szCs w:val="22"/>
              </w:rPr>
              <w:t xml:space="preserve"> </w:t>
            </w:r>
            <w:r w:rsidR="00530DEF" w:rsidRPr="00702A1E">
              <w:rPr>
                <w:iCs/>
                <w:sz w:val="22"/>
                <w:szCs w:val="22"/>
              </w:rPr>
              <w:t>uslijed inflatornih djelovanja.</w:t>
            </w:r>
            <w:r w:rsidR="003C1D10" w:rsidRPr="00702A1E">
              <w:rPr>
                <w:iCs/>
                <w:sz w:val="22"/>
                <w:szCs w:val="22"/>
              </w:rPr>
              <w:t xml:space="preserve"> </w:t>
            </w:r>
          </w:p>
          <w:p w14:paraId="4DBF123F" w14:textId="77777777" w:rsidR="00E60C7B" w:rsidRPr="00702A1E" w:rsidRDefault="00E60C7B" w:rsidP="0074131A">
            <w:pPr>
              <w:pStyle w:val="Standard"/>
              <w:jc w:val="both"/>
              <w:rPr>
                <w:iCs/>
                <w:color w:val="FF0000"/>
                <w:sz w:val="22"/>
                <w:szCs w:val="22"/>
              </w:rPr>
            </w:pPr>
          </w:p>
          <w:p w14:paraId="7922F406" w14:textId="77777777" w:rsidR="00FA6BF1" w:rsidRPr="00702A1E" w:rsidRDefault="00FA6BF1">
            <w:pPr>
              <w:pStyle w:val="Standard"/>
              <w:rPr>
                <w:bCs/>
                <w:color w:val="000000"/>
                <w:sz w:val="22"/>
                <w:szCs w:val="22"/>
                <w:lang w:eastAsia="en-US"/>
              </w:rPr>
            </w:pPr>
          </w:p>
        </w:tc>
      </w:tr>
    </w:tbl>
    <w:p w14:paraId="5456D717" w14:textId="77777777" w:rsidR="00FA6BF1" w:rsidRPr="00702A1E" w:rsidRDefault="00FA6BF1">
      <w:pPr>
        <w:pStyle w:val="Standard"/>
        <w:rPr>
          <w:sz w:val="22"/>
          <w:szCs w:val="22"/>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050"/>
        <w:gridCol w:w="928"/>
        <w:gridCol w:w="1276"/>
        <w:gridCol w:w="1133"/>
        <w:gridCol w:w="1230"/>
        <w:gridCol w:w="1269"/>
        <w:gridCol w:w="1270"/>
      </w:tblGrid>
      <w:tr w:rsidR="00FA6BF1" w:rsidRPr="00702A1E" w14:paraId="7E4F9EA6" w14:textId="77777777">
        <w:trPr>
          <w:trHeight w:val="651"/>
        </w:trPr>
        <w:tc>
          <w:tcPr>
            <w:tcW w:w="1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2866EB0" w14:textId="77777777" w:rsidR="00FA6BF1" w:rsidRPr="00702A1E" w:rsidRDefault="00091387">
            <w:pPr>
              <w:pStyle w:val="Standard"/>
              <w:rPr>
                <w:sz w:val="22"/>
                <w:szCs w:val="22"/>
              </w:rPr>
            </w:pPr>
            <w:r w:rsidRPr="00702A1E">
              <w:rPr>
                <w:b/>
                <w:sz w:val="22"/>
                <w:szCs w:val="22"/>
              </w:rPr>
              <w:t>Pokazatelj rezultata</w:t>
            </w:r>
          </w:p>
        </w:tc>
        <w:tc>
          <w:tcPr>
            <w:tcW w:w="105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A512DE8" w14:textId="77777777" w:rsidR="00FA6BF1" w:rsidRPr="00702A1E" w:rsidRDefault="00091387">
            <w:pPr>
              <w:pStyle w:val="Standard"/>
              <w:jc w:val="center"/>
              <w:rPr>
                <w:sz w:val="22"/>
                <w:szCs w:val="22"/>
              </w:rPr>
            </w:pPr>
            <w:r w:rsidRPr="00702A1E">
              <w:rPr>
                <w:b/>
                <w:sz w:val="22"/>
                <w:szCs w:val="22"/>
              </w:rPr>
              <w:t>Definicija</w:t>
            </w:r>
          </w:p>
        </w:tc>
        <w:tc>
          <w:tcPr>
            <w:tcW w:w="9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75ADA33" w14:textId="77777777" w:rsidR="00FA6BF1" w:rsidRPr="00702A1E" w:rsidRDefault="00091387">
            <w:pPr>
              <w:pStyle w:val="Standard"/>
              <w:jc w:val="center"/>
              <w:rPr>
                <w:sz w:val="22"/>
                <w:szCs w:val="22"/>
              </w:rPr>
            </w:pPr>
            <w:r w:rsidRPr="00702A1E">
              <w:rPr>
                <w:b/>
                <w:sz w:val="22"/>
                <w:szCs w:val="22"/>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371A3DB" w14:textId="7DAA3D3B" w:rsidR="00FA6BF1" w:rsidRPr="00702A1E" w:rsidRDefault="00091387">
            <w:pPr>
              <w:pStyle w:val="Standard"/>
              <w:jc w:val="center"/>
              <w:rPr>
                <w:sz w:val="22"/>
                <w:szCs w:val="22"/>
              </w:rPr>
            </w:pPr>
            <w:r w:rsidRPr="00702A1E">
              <w:rPr>
                <w:b/>
                <w:sz w:val="22"/>
                <w:szCs w:val="22"/>
              </w:rPr>
              <w:t>Polazna vrijednost 202</w:t>
            </w:r>
            <w:r w:rsidR="00E76181" w:rsidRPr="00702A1E">
              <w:rPr>
                <w:b/>
                <w:sz w:val="22"/>
                <w:szCs w:val="22"/>
              </w:rPr>
              <w:t>3</w:t>
            </w:r>
            <w:r w:rsidRPr="00702A1E">
              <w:rPr>
                <w:b/>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9A7CD6B" w14:textId="77777777" w:rsidR="00FA6BF1" w:rsidRPr="00702A1E" w:rsidRDefault="00091387">
            <w:pPr>
              <w:pStyle w:val="Standard"/>
              <w:jc w:val="center"/>
              <w:rPr>
                <w:sz w:val="22"/>
                <w:szCs w:val="22"/>
              </w:rPr>
            </w:pPr>
            <w:r w:rsidRPr="00702A1E">
              <w:rPr>
                <w:b/>
                <w:sz w:val="22"/>
                <w:szCs w:val="22"/>
              </w:rPr>
              <w:t>Izvor podataka</w:t>
            </w:r>
          </w:p>
        </w:tc>
        <w:tc>
          <w:tcPr>
            <w:tcW w:w="12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8058F1" w14:textId="0DE1F142"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4</w:t>
            </w:r>
            <w:r w:rsidRPr="00702A1E">
              <w:rPr>
                <w:b/>
                <w:sz w:val="22"/>
                <w:szCs w:val="22"/>
              </w:rPr>
              <w:t>.</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7E0CB93" w14:textId="4FD1362B"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5</w:t>
            </w:r>
            <w:r w:rsidRPr="00702A1E">
              <w:rPr>
                <w:b/>
                <w:sz w:val="22"/>
                <w:szCs w:val="22"/>
              </w:rPr>
              <w:t>.</w:t>
            </w:r>
          </w:p>
        </w:tc>
        <w:tc>
          <w:tcPr>
            <w:tcW w:w="12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5EE9ED2" w14:textId="37E2CB5C"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6</w:t>
            </w:r>
            <w:r w:rsidRPr="00702A1E">
              <w:rPr>
                <w:b/>
                <w:sz w:val="22"/>
                <w:szCs w:val="22"/>
              </w:rPr>
              <w:t>.</w:t>
            </w:r>
          </w:p>
        </w:tc>
      </w:tr>
      <w:tr w:rsidR="00FA6BF1" w:rsidRPr="00702A1E" w14:paraId="103D949A" w14:textId="77777777">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8647A1" w14:textId="3949E3C2" w:rsidR="00FA6BF1" w:rsidRPr="00702A1E" w:rsidRDefault="00091387">
            <w:pPr>
              <w:pStyle w:val="Standard"/>
              <w:rPr>
                <w:sz w:val="22"/>
                <w:szCs w:val="22"/>
              </w:rPr>
            </w:pPr>
            <w:r w:rsidRPr="00702A1E">
              <w:rPr>
                <w:sz w:val="22"/>
                <w:szCs w:val="22"/>
              </w:rPr>
              <w:t>Smanjenje prosječne starost</w:t>
            </w:r>
            <w:r w:rsidR="00BA0995" w:rsidRPr="00702A1E">
              <w:rPr>
                <w:sz w:val="22"/>
                <w:szCs w:val="22"/>
              </w:rPr>
              <w:t xml:space="preserve">i </w:t>
            </w:r>
            <w:r w:rsidRPr="00702A1E">
              <w:rPr>
                <w:sz w:val="22"/>
                <w:szCs w:val="22"/>
              </w:rPr>
              <w:t>voznog parka</w:t>
            </w:r>
            <w:r w:rsidR="008C70CE" w:rsidRPr="00702A1E">
              <w:rPr>
                <w:sz w:val="22"/>
                <w:szCs w:val="22"/>
              </w:rPr>
              <w:t xml:space="preserve"> hitne medicine</w:t>
            </w:r>
          </w:p>
        </w:tc>
        <w:tc>
          <w:tcPr>
            <w:tcW w:w="1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76D91B" w14:textId="15F2BE4A" w:rsidR="00FA6BF1" w:rsidRPr="00702A1E" w:rsidRDefault="00091387">
            <w:pPr>
              <w:pStyle w:val="Standard"/>
              <w:rPr>
                <w:sz w:val="22"/>
                <w:szCs w:val="22"/>
              </w:rPr>
            </w:pPr>
            <w:r w:rsidRPr="00702A1E">
              <w:rPr>
                <w:sz w:val="22"/>
                <w:szCs w:val="22"/>
              </w:rPr>
              <w:t xml:space="preserve">Smanjenjem  prosječne starosti voznog parka </w:t>
            </w:r>
            <w:r w:rsidR="008C70CE" w:rsidRPr="00702A1E">
              <w:rPr>
                <w:sz w:val="22"/>
                <w:szCs w:val="22"/>
              </w:rPr>
              <w:t xml:space="preserve">hitne medicine </w:t>
            </w:r>
            <w:r w:rsidRPr="00702A1E">
              <w:rPr>
                <w:sz w:val="22"/>
                <w:szCs w:val="22"/>
              </w:rPr>
              <w:t>postiže se  brzina i efikasnost u obavljanu  djelatnosti</w:t>
            </w:r>
          </w:p>
        </w:tc>
        <w:tc>
          <w:tcPr>
            <w:tcW w:w="9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73D70D" w14:textId="77777777" w:rsidR="00FA6BF1" w:rsidRPr="00702A1E" w:rsidRDefault="00091387">
            <w:pPr>
              <w:pStyle w:val="Standard"/>
              <w:rPr>
                <w:sz w:val="22"/>
                <w:szCs w:val="22"/>
              </w:rPr>
            </w:pPr>
            <w:r w:rsidRPr="00702A1E">
              <w:rPr>
                <w:sz w:val="22"/>
                <w:szCs w:val="22"/>
              </w:rPr>
              <w:t>Broj godina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0DB31E" w14:textId="030D2E9E" w:rsidR="00FA6BF1" w:rsidRPr="00702A1E" w:rsidRDefault="00E76181">
            <w:pPr>
              <w:pStyle w:val="Standard"/>
              <w:jc w:val="center"/>
              <w:rPr>
                <w:sz w:val="22"/>
                <w:szCs w:val="22"/>
              </w:rPr>
            </w:pPr>
            <w:r w:rsidRPr="00702A1E">
              <w:rPr>
                <w:sz w:val="22"/>
                <w:szCs w:val="22"/>
              </w:rPr>
              <w:t>4,9</w:t>
            </w:r>
          </w:p>
          <w:p w14:paraId="3E9D2B83" w14:textId="77777777" w:rsidR="00FA6BF1" w:rsidRPr="00702A1E" w:rsidRDefault="00FA6BF1">
            <w:pPr>
              <w:pStyle w:val="Standard"/>
              <w:jc w:val="center"/>
              <w:rPr>
                <w:sz w:val="22"/>
                <w:szCs w:val="22"/>
                <w:shd w:val="clear" w:color="auto" w:fill="FFFF0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B2179" w14:textId="441894C9" w:rsidR="00FA6BF1" w:rsidRPr="00702A1E" w:rsidRDefault="00091387">
            <w:pPr>
              <w:pStyle w:val="Standard"/>
              <w:jc w:val="center"/>
              <w:rPr>
                <w:sz w:val="22"/>
                <w:szCs w:val="22"/>
              </w:rPr>
            </w:pPr>
            <w:r w:rsidRPr="00702A1E">
              <w:rPr>
                <w:sz w:val="22"/>
                <w:szCs w:val="22"/>
              </w:rPr>
              <w:t>Z</w:t>
            </w:r>
            <w:r w:rsidR="00A43490" w:rsidRPr="00702A1E">
              <w:rPr>
                <w:sz w:val="22"/>
                <w:szCs w:val="22"/>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5FF37B" w14:textId="61B4C578" w:rsidR="00FA6BF1" w:rsidRPr="00702A1E" w:rsidRDefault="00E76181">
            <w:pPr>
              <w:pStyle w:val="Standard"/>
              <w:jc w:val="center"/>
              <w:rPr>
                <w:sz w:val="22"/>
                <w:szCs w:val="22"/>
              </w:rPr>
            </w:pPr>
            <w:r w:rsidRPr="00702A1E">
              <w:rPr>
                <w:sz w:val="22"/>
                <w:szCs w:val="22"/>
              </w:rPr>
              <w:t>4,8</w:t>
            </w:r>
          </w:p>
          <w:p w14:paraId="4C0C64F7" w14:textId="77777777" w:rsidR="00FA6BF1" w:rsidRPr="00702A1E" w:rsidRDefault="00FA6BF1">
            <w:pPr>
              <w:pStyle w:val="Standard"/>
              <w:jc w:val="center"/>
              <w:rPr>
                <w:sz w:val="22"/>
                <w:szCs w:val="22"/>
                <w:shd w:val="clear" w:color="auto" w:fill="FFFF00"/>
              </w:rPr>
            </w:pPr>
          </w:p>
          <w:p w14:paraId="128A22D0" w14:textId="77777777" w:rsidR="00FA6BF1" w:rsidRPr="00702A1E" w:rsidRDefault="00FA6BF1">
            <w:pPr>
              <w:pStyle w:val="Standard"/>
              <w:jc w:val="center"/>
              <w:rPr>
                <w:sz w:val="22"/>
                <w:szCs w:val="22"/>
                <w:shd w:val="clear" w:color="auto" w:fill="FFFF00"/>
              </w:rPr>
            </w:pPr>
          </w:p>
          <w:p w14:paraId="58663930" w14:textId="77777777" w:rsidR="00FA6BF1" w:rsidRPr="00702A1E" w:rsidRDefault="00FA6BF1">
            <w:pPr>
              <w:pStyle w:val="Standard"/>
              <w:jc w:val="center"/>
              <w:rPr>
                <w:sz w:val="22"/>
                <w:szCs w:val="22"/>
                <w:shd w:val="clear" w:color="auto" w:fill="FFFF00"/>
              </w:rPr>
            </w:pPr>
          </w:p>
          <w:p w14:paraId="64ACC60B" w14:textId="77777777" w:rsidR="00FA6BF1" w:rsidRPr="00702A1E" w:rsidRDefault="00FA6BF1">
            <w:pPr>
              <w:pStyle w:val="Standard"/>
              <w:rPr>
                <w:sz w:val="22"/>
                <w:szCs w:val="22"/>
                <w:shd w:val="clear" w:color="auto" w:fill="FFFF00"/>
              </w:rPr>
            </w:pP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68B82" w14:textId="3187D3E7" w:rsidR="00FA6BF1" w:rsidRPr="00702A1E" w:rsidRDefault="00091387">
            <w:pPr>
              <w:pStyle w:val="Standard"/>
              <w:jc w:val="center"/>
              <w:rPr>
                <w:sz w:val="22"/>
                <w:szCs w:val="22"/>
              </w:rPr>
            </w:pPr>
            <w:r w:rsidRPr="00702A1E">
              <w:rPr>
                <w:sz w:val="22"/>
                <w:szCs w:val="22"/>
              </w:rPr>
              <w:t>4,</w:t>
            </w:r>
            <w:r w:rsidR="00E76181" w:rsidRPr="00702A1E">
              <w:rPr>
                <w:sz w:val="22"/>
                <w:szCs w:val="22"/>
              </w:rPr>
              <w:t>7</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92C933" w14:textId="1A5BF9BE" w:rsidR="00FA6BF1" w:rsidRPr="00702A1E" w:rsidRDefault="00091387">
            <w:pPr>
              <w:pStyle w:val="Standard"/>
              <w:jc w:val="center"/>
              <w:rPr>
                <w:sz w:val="22"/>
                <w:szCs w:val="22"/>
              </w:rPr>
            </w:pPr>
            <w:r w:rsidRPr="00702A1E">
              <w:rPr>
                <w:sz w:val="22"/>
                <w:szCs w:val="22"/>
              </w:rPr>
              <w:t>4,</w:t>
            </w:r>
            <w:r w:rsidR="00E76181" w:rsidRPr="00702A1E">
              <w:rPr>
                <w:sz w:val="22"/>
                <w:szCs w:val="22"/>
              </w:rPr>
              <w:t>6</w:t>
            </w:r>
          </w:p>
        </w:tc>
      </w:tr>
      <w:tr w:rsidR="00FA6BF1" w:rsidRPr="00702A1E" w14:paraId="5653F40B" w14:textId="77777777">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7AA127" w14:textId="4CAAC0AF" w:rsidR="00FA6BF1" w:rsidRPr="00702A1E" w:rsidRDefault="00091387">
            <w:pPr>
              <w:pStyle w:val="Standard"/>
              <w:rPr>
                <w:sz w:val="22"/>
                <w:szCs w:val="22"/>
              </w:rPr>
            </w:pPr>
            <w:r w:rsidRPr="00702A1E">
              <w:rPr>
                <w:bCs/>
                <w:sz w:val="22"/>
                <w:szCs w:val="22"/>
              </w:rPr>
              <w:t>Kontinuitet u usklađenosti svih ispostava</w:t>
            </w:r>
            <w:r w:rsidR="005D1BB4" w:rsidRPr="00702A1E">
              <w:rPr>
                <w:bCs/>
                <w:sz w:val="22"/>
                <w:szCs w:val="22"/>
              </w:rPr>
              <w:t xml:space="preserve"> Zavoda</w:t>
            </w:r>
            <w:r w:rsidRPr="00702A1E">
              <w:rPr>
                <w:bCs/>
                <w:sz w:val="22"/>
                <w:szCs w:val="22"/>
              </w:rPr>
              <w:t xml:space="preserve"> sa Mrežom hitne medicine</w:t>
            </w:r>
          </w:p>
        </w:tc>
        <w:tc>
          <w:tcPr>
            <w:tcW w:w="1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851A66" w14:textId="77777777" w:rsidR="00FA6BF1" w:rsidRPr="00702A1E" w:rsidRDefault="00091387">
            <w:pPr>
              <w:pStyle w:val="Standard"/>
              <w:rPr>
                <w:sz w:val="22"/>
                <w:szCs w:val="22"/>
              </w:rPr>
            </w:pPr>
            <w:r w:rsidRPr="00702A1E">
              <w:rPr>
                <w:sz w:val="22"/>
                <w:szCs w:val="22"/>
              </w:rPr>
              <w:t>Usklađenjem svih ispostava sa Mrežom hitne medicine postiže se  jednakost u  kvaliteti pružene zdravstvene usluge na području cijele  županije</w:t>
            </w:r>
          </w:p>
        </w:tc>
        <w:tc>
          <w:tcPr>
            <w:tcW w:w="9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52B4F6" w14:textId="77777777" w:rsidR="00FA6BF1" w:rsidRPr="00702A1E" w:rsidRDefault="00091387">
            <w:pPr>
              <w:pStyle w:val="Standard"/>
              <w:rPr>
                <w:sz w:val="22"/>
                <w:szCs w:val="22"/>
              </w:rPr>
            </w:pPr>
            <w:r w:rsidRPr="00702A1E">
              <w:rPr>
                <w:sz w:val="22"/>
                <w:szCs w:val="22"/>
              </w:rPr>
              <w:t>Broj ispostava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F52F97" w14:textId="77777777" w:rsidR="00FA6BF1" w:rsidRPr="00702A1E" w:rsidRDefault="00091387">
            <w:pPr>
              <w:pStyle w:val="Standard"/>
              <w:jc w:val="center"/>
              <w:rPr>
                <w:sz w:val="22"/>
                <w:szCs w:val="22"/>
              </w:rPr>
            </w:pPr>
            <w:r w:rsidRPr="00702A1E">
              <w:rPr>
                <w:sz w:val="22"/>
                <w:szCs w:val="22"/>
              </w:rPr>
              <w:t>16</w:t>
            </w:r>
          </w:p>
          <w:p w14:paraId="4D2F6EC0" w14:textId="77777777" w:rsidR="00FA6BF1" w:rsidRPr="00702A1E" w:rsidRDefault="00FA6BF1">
            <w:pPr>
              <w:pStyle w:val="Standard"/>
              <w:jc w:val="center"/>
              <w:rPr>
                <w:sz w:val="22"/>
                <w:szCs w:val="22"/>
              </w:rPr>
            </w:pPr>
          </w:p>
          <w:p w14:paraId="2FB88CC0" w14:textId="77777777" w:rsidR="00FA6BF1" w:rsidRPr="00702A1E" w:rsidRDefault="00FA6BF1">
            <w:pPr>
              <w:pStyle w:val="Standard"/>
              <w:jc w:val="center"/>
              <w:rPr>
                <w:sz w:val="22"/>
                <w:szCs w:val="22"/>
              </w:rPr>
            </w:pPr>
          </w:p>
          <w:p w14:paraId="55FC62C9" w14:textId="77777777" w:rsidR="00FA6BF1" w:rsidRPr="00702A1E" w:rsidRDefault="00FA6BF1">
            <w:pPr>
              <w:pStyle w:val="Standard"/>
              <w:jc w:val="center"/>
              <w:rPr>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66AC55" w14:textId="3A229485" w:rsidR="00FA6BF1" w:rsidRPr="00702A1E" w:rsidRDefault="00091387">
            <w:pPr>
              <w:pStyle w:val="Standard"/>
              <w:jc w:val="center"/>
              <w:rPr>
                <w:sz w:val="22"/>
                <w:szCs w:val="22"/>
              </w:rPr>
            </w:pPr>
            <w:r w:rsidRPr="00702A1E">
              <w:rPr>
                <w:sz w:val="22"/>
                <w:szCs w:val="22"/>
              </w:rPr>
              <w:t>Z</w:t>
            </w:r>
            <w:r w:rsidR="00A43490" w:rsidRPr="00702A1E">
              <w:rPr>
                <w:sz w:val="22"/>
                <w:szCs w:val="22"/>
              </w:rPr>
              <w:t>avod</w:t>
            </w:r>
          </w:p>
          <w:p w14:paraId="53EE279F" w14:textId="77777777" w:rsidR="00FA6BF1" w:rsidRPr="00702A1E" w:rsidRDefault="00FA6BF1">
            <w:pPr>
              <w:pStyle w:val="Standard"/>
              <w:jc w:val="center"/>
              <w:rPr>
                <w:sz w:val="22"/>
                <w:szCs w:val="22"/>
              </w:rPr>
            </w:pPr>
          </w:p>
          <w:p w14:paraId="7272EA6E" w14:textId="77777777" w:rsidR="00FA6BF1" w:rsidRPr="00702A1E" w:rsidRDefault="00FA6BF1">
            <w:pPr>
              <w:pStyle w:val="Standard"/>
              <w:jc w:val="center"/>
              <w:rPr>
                <w:sz w:val="22"/>
                <w:szCs w:val="22"/>
              </w:rPr>
            </w:pPr>
          </w:p>
          <w:p w14:paraId="3D987ED7" w14:textId="77777777" w:rsidR="00FA6BF1" w:rsidRPr="00702A1E" w:rsidRDefault="00FA6BF1">
            <w:pPr>
              <w:pStyle w:val="Standard"/>
              <w:jc w:val="center"/>
              <w:rPr>
                <w:sz w:val="22"/>
                <w:szCs w:val="22"/>
              </w:rPr>
            </w:pP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46C1C5" w14:textId="77777777" w:rsidR="00FA6BF1" w:rsidRPr="00702A1E" w:rsidRDefault="00091387">
            <w:pPr>
              <w:pStyle w:val="Standard"/>
              <w:jc w:val="center"/>
              <w:rPr>
                <w:sz w:val="22"/>
                <w:szCs w:val="22"/>
              </w:rPr>
            </w:pPr>
            <w:r w:rsidRPr="00702A1E">
              <w:rPr>
                <w:sz w:val="22"/>
                <w:szCs w:val="22"/>
              </w:rPr>
              <w:t>16</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8456DE" w14:textId="77777777" w:rsidR="00FA6BF1" w:rsidRPr="00702A1E" w:rsidRDefault="00091387">
            <w:pPr>
              <w:pStyle w:val="Standard"/>
              <w:jc w:val="center"/>
              <w:rPr>
                <w:sz w:val="22"/>
                <w:szCs w:val="22"/>
              </w:rPr>
            </w:pPr>
            <w:r w:rsidRPr="00702A1E">
              <w:rPr>
                <w:sz w:val="22"/>
                <w:szCs w:val="22"/>
              </w:rPr>
              <w:t>16</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05543F" w14:textId="77777777" w:rsidR="00FA6BF1" w:rsidRPr="00702A1E" w:rsidRDefault="00091387">
            <w:pPr>
              <w:pStyle w:val="Standard"/>
              <w:jc w:val="center"/>
              <w:rPr>
                <w:sz w:val="22"/>
                <w:szCs w:val="22"/>
              </w:rPr>
            </w:pPr>
            <w:r w:rsidRPr="00702A1E">
              <w:rPr>
                <w:sz w:val="22"/>
                <w:szCs w:val="22"/>
              </w:rPr>
              <w:t>16</w:t>
            </w:r>
          </w:p>
          <w:p w14:paraId="4A7DC74F" w14:textId="77777777" w:rsidR="00FA6BF1" w:rsidRPr="00702A1E" w:rsidRDefault="00FA6BF1">
            <w:pPr>
              <w:pStyle w:val="Standard"/>
              <w:jc w:val="center"/>
              <w:rPr>
                <w:sz w:val="22"/>
                <w:szCs w:val="22"/>
              </w:rPr>
            </w:pPr>
          </w:p>
        </w:tc>
      </w:tr>
    </w:tbl>
    <w:p w14:paraId="6176ECA4" w14:textId="77777777" w:rsidR="007C6F2E" w:rsidRPr="00702A1E" w:rsidRDefault="007C6F2E">
      <w:pPr>
        <w:pStyle w:val="Standard"/>
        <w:rPr>
          <w:sz w:val="22"/>
          <w:szCs w:val="22"/>
        </w:rPr>
      </w:pPr>
    </w:p>
    <w:tbl>
      <w:tblPr>
        <w:tblW w:w="9456" w:type="dxa"/>
        <w:tblInd w:w="-108" w:type="dxa"/>
        <w:tblLayout w:type="fixed"/>
        <w:tblCellMar>
          <w:left w:w="10" w:type="dxa"/>
          <w:right w:w="10" w:type="dxa"/>
        </w:tblCellMar>
        <w:tblLook w:val="04A0" w:firstRow="1" w:lastRow="0" w:firstColumn="1" w:lastColumn="0" w:noHBand="0" w:noVBand="1"/>
      </w:tblPr>
      <w:tblGrid>
        <w:gridCol w:w="1169"/>
        <w:gridCol w:w="69"/>
        <w:gridCol w:w="1842"/>
        <w:gridCol w:w="709"/>
        <w:gridCol w:w="992"/>
        <w:gridCol w:w="1134"/>
        <w:gridCol w:w="1134"/>
        <w:gridCol w:w="142"/>
        <w:gridCol w:w="1134"/>
        <w:gridCol w:w="1131"/>
      </w:tblGrid>
      <w:tr w:rsidR="00FA6BF1" w:rsidRPr="00702A1E" w14:paraId="6CF790A7" w14:textId="77777777" w:rsidTr="00702A1E">
        <w:trPr>
          <w:trHeight w:val="51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343A119"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Aktivnost/ Projekt:</w:t>
            </w:r>
          </w:p>
        </w:tc>
        <w:tc>
          <w:tcPr>
            <w:tcW w:w="19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F57303" w14:textId="59877453" w:rsidR="00FA6BF1" w:rsidRPr="00702A1E" w:rsidRDefault="00091387" w:rsidP="00702A1E">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A003020A302007</w:t>
            </w:r>
          </w:p>
        </w:tc>
        <w:tc>
          <w:tcPr>
            <w:tcW w:w="637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49F98D" w14:textId="77777777" w:rsidR="00FA6BF1" w:rsidRPr="00702A1E" w:rsidRDefault="00091387">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Dodatni timovi u turističkoj sezoni</w:t>
            </w:r>
          </w:p>
        </w:tc>
      </w:tr>
      <w:tr w:rsidR="0074131A" w:rsidRPr="00702A1E" w14:paraId="5AFAE7D7" w14:textId="77777777" w:rsidTr="00702A1E">
        <w:trPr>
          <w:trHeight w:val="51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0754F60" w14:textId="77777777" w:rsidR="0074131A" w:rsidRPr="00702A1E" w:rsidRDefault="0074131A" w:rsidP="0074131A">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Zakonska i druga pravna osnova:</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15B34A" w14:textId="6B8B999F" w:rsidR="0074131A" w:rsidRPr="00702A1E" w:rsidRDefault="0074131A" w:rsidP="00C97AA2">
            <w:pPr>
              <w:pStyle w:val="Standard"/>
              <w:jc w:val="both"/>
              <w:rPr>
                <w:sz w:val="22"/>
                <w:szCs w:val="22"/>
              </w:rPr>
            </w:pPr>
            <w:r w:rsidRPr="00702A1E">
              <w:rPr>
                <w:rFonts w:eastAsia="Symbol"/>
                <w:sz w:val="22"/>
                <w:szCs w:val="22"/>
                <w:lang w:val="pl-PL"/>
              </w:rPr>
              <w:t xml:space="preserve">Zakon o zdravstvenoj zaštiti, Zakon o obveznom zdravstvenom osiguranju, Kolektivni ugovor za djelatnost zdravstva i zdravstvenog osiguranja, Ugovor s HZZO-om, Sporazumi o sufinanciranju s jedinicama lokalne samouprave, </w:t>
            </w:r>
            <w:r w:rsidRPr="00702A1E">
              <w:rPr>
                <w:sz w:val="22"/>
                <w:szCs w:val="22"/>
              </w:rPr>
              <w:t>Upute za izradu Proračuna Splitsko-dalmatinske županije za razdoblje 202</w:t>
            </w:r>
            <w:r w:rsidR="00530DEF" w:rsidRPr="00702A1E">
              <w:rPr>
                <w:sz w:val="22"/>
                <w:szCs w:val="22"/>
              </w:rPr>
              <w:t>4</w:t>
            </w:r>
            <w:r w:rsidRPr="00702A1E">
              <w:rPr>
                <w:sz w:val="22"/>
                <w:szCs w:val="22"/>
              </w:rPr>
              <w:t>.g.-202</w:t>
            </w:r>
            <w:r w:rsidR="00530DEF" w:rsidRPr="00702A1E">
              <w:rPr>
                <w:sz w:val="22"/>
                <w:szCs w:val="22"/>
              </w:rPr>
              <w:t>6</w:t>
            </w:r>
            <w:r w:rsidRPr="00702A1E">
              <w:rPr>
                <w:sz w:val="22"/>
                <w:szCs w:val="22"/>
              </w:rPr>
              <w:t>.g.</w:t>
            </w:r>
          </w:p>
          <w:p w14:paraId="5F7307B1" w14:textId="3D367656" w:rsidR="0074131A" w:rsidRPr="00702A1E" w:rsidRDefault="0074131A" w:rsidP="00C97AA2">
            <w:pPr>
              <w:widowControl/>
              <w:spacing w:after="0" w:line="240" w:lineRule="auto"/>
              <w:jc w:val="both"/>
              <w:rPr>
                <w:rFonts w:ascii="Times New Roman" w:hAnsi="Times New Roman" w:cs="Times New Roman"/>
              </w:rPr>
            </w:pPr>
          </w:p>
        </w:tc>
      </w:tr>
      <w:tr w:rsidR="0074131A" w:rsidRPr="00702A1E" w14:paraId="77734197" w14:textId="77777777" w:rsidTr="00702A1E">
        <w:trPr>
          <w:trHeight w:val="25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69D1B70" w14:textId="77777777" w:rsidR="0074131A" w:rsidRPr="00702A1E" w:rsidRDefault="0074131A" w:rsidP="0074131A">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Opis aktivnosti / projekta</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328CF4" w14:textId="4489C71C" w:rsidR="0074131A" w:rsidRPr="00702A1E" w:rsidRDefault="0074131A" w:rsidP="00C97AA2">
            <w:pPr>
              <w:widowControl/>
              <w:snapToGrid w:val="0"/>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Za vrijeme turističke sezone na području Splitsko-dalmatinske županije boravi veliki broj domaćih i stranih turista te se zbog znatno povećanog broja korisnika zdravstvene zaštite angažiraju dodatni timovi hitne medicine čime se ostvaruje veća dostupnost i efikasnost hitne medicine.</w:t>
            </w:r>
          </w:p>
          <w:p w14:paraId="12562A62" w14:textId="77777777" w:rsidR="0074131A" w:rsidRPr="00702A1E" w:rsidRDefault="0074131A" w:rsidP="00C97AA2">
            <w:pPr>
              <w:widowControl/>
              <w:snapToGrid w:val="0"/>
              <w:spacing w:after="0" w:line="240" w:lineRule="auto"/>
              <w:jc w:val="both"/>
              <w:rPr>
                <w:rFonts w:ascii="Times New Roman" w:eastAsia="Times New Roman" w:hAnsi="Times New Roman" w:cs="Times New Roman"/>
                <w:bCs/>
                <w:kern w:val="0"/>
                <w:lang w:eastAsia="ar-SA"/>
              </w:rPr>
            </w:pPr>
          </w:p>
          <w:p w14:paraId="0EA4BEDB" w14:textId="77777777" w:rsidR="0074131A" w:rsidRPr="00702A1E" w:rsidRDefault="0074131A" w:rsidP="00C97AA2">
            <w:pPr>
              <w:widowControl/>
              <w:snapToGrid w:val="0"/>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Svake godine u turističkim mjestima uvode se dodatni timovi te se svim korisnicima pruža kvalitetna i promptna zdravstvena usluga. Na taj način se čuva zdravlje i spašavaju životi osoba te se ujedno doprinosi stvaranju predodžbe o našoj županiji kao turistički poželjnom odredištu.</w:t>
            </w:r>
          </w:p>
          <w:p w14:paraId="613A9573" w14:textId="77777777" w:rsidR="0074131A" w:rsidRPr="00702A1E" w:rsidRDefault="0074131A" w:rsidP="00C97AA2">
            <w:pPr>
              <w:widowControl/>
              <w:snapToGrid w:val="0"/>
              <w:spacing w:after="0" w:line="240" w:lineRule="auto"/>
              <w:jc w:val="both"/>
              <w:rPr>
                <w:rFonts w:ascii="Times New Roman" w:eastAsia="Times New Roman" w:hAnsi="Times New Roman" w:cs="Times New Roman"/>
                <w:bCs/>
                <w:kern w:val="0"/>
                <w:lang w:eastAsia="ar-SA"/>
              </w:rPr>
            </w:pPr>
          </w:p>
          <w:p w14:paraId="1F8437F8" w14:textId="21415D4E" w:rsidR="0074131A" w:rsidRPr="00702A1E" w:rsidRDefault="0074131A" w:rsidP="00C97AA2">
            <w:pPr>
              <w:widowControl/>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Ova aktivnost, koja obuhvaća 2,</w:t>
            </w:r>
            <w:r w:rsidR="00530DEF" w:rsidRPr="00702A1E">
              <w:rPr>
                <w:rFonts w:ascii="Times New Roman" w:eastAsia="Times New Roman" w:hAnsi="Times New Roman" w:cs="Times New Roman"/>
                <w:bCs/>
                <w:kern w:val="0"/>
                <w:lang w:eastAsia="ar-SA"/>
              </w:rPr>
              <w:t>8</w:t>
            </w:r>
            <w:r w:rsidRPr="00702A1E">
              <w:rPr>
                <w:rFonts w:ascii="Times New Roman" w:eastAsia="Times New Roman" w:hAnsi="Times New Roman" w:cs="Times New Roman"/>
                <w:bCs/>
                <w:kern w:val="0"/>
                <w:lang w:eastAsia="ar-SA"/>
              </w:rPr>
              <w:t xml:space="preserve"> % ukupnog plana u 202</w:t>
            </w:r>
            <w:r w:rsidR="00530DEF"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.g., sastoji se od rashoda za zaposlene i materijalnih rashoda koji se financiraju iz slijedećih izvora:</w:t>
            </w:r>
          </w:p>
          <w:p w14:paraId="2E63DABE" w14:textId="61E9CB25" w:rsidR="0074131A" w:rsidRPr="00702A1E" w:rsidRDefault="0074131A" w:rsidP="00C97AA2">
            <w:pPr>
              <w:widowControl/>
              <w:numPr>
                <w:ilvl w:val="0"/>
                <w:numId w:val="13"/>
              </w:numPr>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 xml:space="preserve">matičnih sredstava SDŽ u iznosu od </w:t>
            </w:r>
            <w:r w:rsidR="00530DEF" w:rsidRPr="00702A1E">
              <w:rPr>
                <w:rFonts w:ascii="Times New Roman" w:eastAsia="Times New Roman" w:hAnsi="Times New Roman" w:cs="Times New Roman"/>
                <w:bCs/>
                <w:kern w:val="0"/>
                <w:lang w:eastAsia="ar-SA"/>
              </w:rPr>
              <w:t xml:space="preserve">100.000,00 </w:t>
            </w:r>
            <w:r w:rsidRPr="00702A1E">
              <w:rPr>
                <w:rFonts w:ascii="Times New Roman" w:eastAsia="Times New Roman" w:hAnsi="Times New Roman" w:cs="Times New Roman"/>
                <w:bCs/>
                <w:kern w:val="0"/>
                <w:lang w:eastAsia="ar-SA"/>
              </w:rPr>
              <w:t xml:space="preserve">€ (za </w:t>
            </w:r>
            <w:bookmarkStart w:id="1" w:name="__DdeLink__15_682213176"/>
            <w:r w:rsidRPr="00702A1E">
              <w:rPr>
                <w:rFonts w:ascii="Times New Roman" w:eastAsia="Times New Roman" w:hAnsi="Times New Roman" w:cs="Times New Roman"/>
                <w:bCs/>
                <w:kern w:val="0"/>
                <w:lang w:eastAsia="ar-SA"/>
              </w:rPr>
              <w:t>sufinanciranje dodatnih timova HM</w:t>
            </w:r>
            <w:bookmarkEnd w:id="1"/>
            <w:r w:rsidRPr="00702A1E">
              <w:rPr>
                <w:rFonts w:ascii="Times New Roman" w:eastAsia="Times New Roman" w:hAnsi="Times New Roman" w:cs="Times New Roman"/>
                <w:bCs/>
                <w:kern w:val="0"/>
                <w:lang w:eastAsia="ar-SA"/>
              </w:rPr>
              <w:t xml:space="preserve"> na području županije) u </w:t>
            </w:r>
            <w:r w:rsidR="00530DEF" w:rsidRPr="00702A1E">
              <w:rPr>
                <w:rFonts w:ascii="Times New Roman" w:eastAsia="Times New Roman" w:hAnsi="Times New Roman" w:cs="Times New Roman"/>
                <w:bCs/>
                <w:kern w:val="0"/>
                <w:lang w:eastAsia="ar-SA"/>
              </w:rPr>
              <w:t>2024.g., u iznosu od 105.000,00 € u 2025.g. i u iznosu od 110.000,00 € u 2026.g.</w:t>
            </w:r>
            <w:r w:rsidRPr="00702A1E">
              <w:rPr>
                <w:rFonts w:ascii="Times New Roman" w:eastAsia="Times New Roman" w:hAnsi="Times New Roman" w:cs="Times New Roman"/>
                <w:bCs/>
                <w:kern w:val="0"/>
                <w:lang w:eastAsia="ar-SA"/>
              </w:rPr>
              <w:t>,</w:t>
            </w:r>
          </w:p>
          <w:p w14:paraId="47CB86F6" w14:textId="2AA484DD" w:rsidR="0074131A" w:rsidRPr="00702A1E" w:rsidRDefault="0074131A" w:rsidP="00C97AA2">
            <w:pPr>
              <w:widowControl/>
              <w:numPr>
                <w:ilvl w:val="0"/>
                <w:numId w:val="13"/>
              </w:numPr>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 xml:space="preserve">prihodi za posebne namjene (prihod od HZZO-a) u iznosu od </w:t>
            </w:r>
            <w:r w:rsidR="00530DEF" w:rsidRPr="00702A1E">
              <w:rPr>
                <w:rFonts w:ascii="Times New Roman" w:eastAsia="Times New Roman" w:hAnsi="Times New Roman" w:cs="Times New Roman"/>
                <w:bCs/>
                <w:kern w:val="0"/>
                <w:lang w:eastAsia="ar-SA"/>
              </w:rPr>
              <w:t>500.000,00</w:t>
            </w:r>
            <w:r w:rsidRPr="00702A1E">
              <w:rPr>
                <w:rFonts w:ascii="Times New Roman" w:eastAsia="Times New Roman" w:hAnsi="Times New Roman" w:cs="Times New Roman"/>
                <w:bCs/>
                <w:kern w:val="0"/>
                <w:lang w:eastAsia="ar-SA"/>
              </w:rPr>
              <w:t xml:space="preserve"> € u 202</w:t>
            </w:r>
            <w:r w:rsidR="00530DEF"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.g. za sufinanciranje dodatnih timova i to tim T1 na autocesti u Dugopolju</w:t>
            </w:r>
            <w:r w:rsidR="004D22C2" w:rsidRPr="00702A1E">
              <w:rPr>
                <w:rFonts w:ascii="Times New Roman" w:eastAsia="Times New Roman" w:hAnsi="Times New Roman" w:cs="Times New Roman"/>
                <w:bCs/>
                <w:kern w:val="0"/>
                <w:lang w:eastAsia="ar-SA"/>
              </w:rPr>
              <w:t xml:space="preserve"> i u Splitu</w:t>
            </w:r>
            <w:r w:rsidRPr="00702A1E">
              <w:rPr>
                <w:rFonts w:ascii="Times New Roman" w:eastAsia="Times New Roman" w:hAnsi="Times New Roman" w:cs="Times New Roman"/>
                <w:bCs/>
                <w:kern w:val="0"/>
                <w:lang w:eastAsia="ar-SA"/>
              </w:rPr>
              <w:t>, tim T2 u Makarskoj</w:t>
            </w:r>
            <w:r w:rsidR="004D22C2" w:rsidRPr="00702A1E">
              <w:rPr>
                <w:rFonts w:ascii="Times New Roman" w:eastAsia="Times New Roman" w:hAnsi="Times New Roman" w:cs="Times New Roman"/>
                <w:bCs/>
                <w:kern w:val="0"/>
                <w:lang w:eastAsia="ar-SA"/>
              </w:rPr>
              <w:t>,</w:t>
            </w:r>
            <w:r w:rsidRPr="00702A1E">
              <w:rPr>
                <w:rFonts w:ascii="Times New Roman" w:eastAsia="Times New Roman" w:hAnsi="Times New Roman" w:cs="Times New Roman"/>
                <w:bCs/>
                <w:kern w:val="0"/>
                <w:lang w:eastAsia="ar-SA"/>
              </w:rPr>
              <w:t xml:space="preserve"> Baškoj Vodi</w:t>
            </w:r>
            <w:r w:rsidR="004D22C2" w:rsidRPr="00702A1E">
              <w:rPr>
                <w:rFonts w:ascii="Times New Roman" w:eastAsia="Times New Roman" w:hAnsi="Times New Roman" w:cs="Times New Roman"/>
                <w:bCs/>
                <w:kern w:val="0"/>
                <w:lang w:eastAsia="ar-SA"/>
              </w:rPr>
              <w:t xml:space="preserve"> i Kaštelima</w:t>
            </w:r>
            <w:r w:rsidRPr="00702A1E">
              <w:rPr>
                <w:rFonts w:ascii="Times New Roman" w:eastAsia="Times New Roman" w:hAnsi="Times New Roman" w:cs="Times New Roman"/>
                <w:bCs/>
                <w:kern w:val="0"/>
                <w:lang w:eastAsia="ar-SA"/>
              </w:rPr>
              <w:t xml:space="preserve">, doktor medicine u IHM </w:t>
            </w:r>
            <w:proofErr w:type="spellStart"/>
            <w:r w:rsidRPr="00702A1E">
              <w:rPr>
                <w:rFonts w:ascii="Times New Roman" w:eastAsia="Times New Roman" w:hAnsi="Times New Roman" w:cs="Times New Roman"/>
                <w:bCs/>
                <w:kern w:val="0"/>
                <w:lang w:eastAsia="ar-SA"/>
              </w:rPr>
              <w:t>Podaca</w:t>
            </w:r>
            <w:proofErr w:type="spellEnd"/>
            <w:r w:rsidR="004D22C2" w:rsidRPr="00702A1E">
              <w:rPr>
                <w:rFonts w:ascii="Times New Roman" w:eastAsia="Times New Roman" w:hAnsi="Times New Roman" w:cs="Times New Roman"/>
                <w:bCs/>
                <w:kern w:val="0"/>
                <w:lang w:eastAsia="ar-SA"/>
              </w:rPr>
              <w:t xml:space="preserve"> i Hvaru</w:t>
            </w:r>
            <w:r w:rsidRPr="00702A1E">
              <w:rPr>
                <w:rFonts w:ascii="Times New Roman" w:eastAsia="Times New Roman" w:hAnsi="Times New Roman" w:cs="Times New Roman"/>
                <w:bCs/>
                <w:kern w:val="0"/>
                <w:lang w:eastAsia="ar-SA"/>
              </w:rPr>
              <w:t xml:space="preserve">), u iznosu od </w:t>
            </w:r>
            <w:r w:rsidR="00530DEF" w:rsidRPr="00702A1E">
              <w:rPr>
                <w:rFonts w:ascii="Times New Roman" w:eastAsia="Times New Roman" w:hAnsi="Times New Roman" w:cs="Times New Roman"/>
                <w:bCs/>
                <w:kern w:val="0"/>
                <w:lang w:eastAsia="ar-SA"/>
              </w:rPr>
              <w:t>527.000,00</w:t>
            </w:r>
            <w:r w:rsidRPr="00702A1E">
              <w:rPr>
                <w:rFonts w:ascii="Times New Roman" w:eastAsia="Times New Roman" w:hAnsi="Times New Roman" w:cs="Times New Roman"/>
                <w:bCs/>
                <w:kern w:val="0"/>
                <w:lang w:eastAsia="ar-SA"/>
              </w:rPr>
              <w:t xml:space="preserve"> € u 202</w:t>
            </w:r>
            <w:r w:rsidR="00530DEF" w:rsidRPr="00702A1E">
              <w:rPr>
                <w:rFonts w:ascii="Times New Roman" w:eastAsia="Times New Roman" w:hAnsi="Times New Roman" w:cs="Times New Roman"/>
                <w:bCs/>
                <w:kern w:val="0"/>
                <w:lang w:eastAsia="ar-SA"/>
              </w:rPr>
              <w:t>5</w:t>
            </w:r>
            <w:r w:rsidRPr="00702A1E">
              <w:rPr>
                <w:rFonts w:ascii="Times New Roman" w:eastAsia="Times New Roman" w:hAnsi="Times New Roman" w:cs="Times New Roman"/>
                <w:bCs/>
                <w:kern w:val="0"/>
                <w:lang w:eastAsia="ar-SA"/>
              </w:rPr>
              <w:t xml:space="preserve">.g. i  </w:t>
            </w:r>
            <w:r w:rsidR="00530DEF" w:rsidRPr="00702A1E">
              <w:rPr>
                <w:rFonts w:ascii="Times New Roman" w:eastAsia="Times New Roman" w:hAnsi="Times New Roman" w:cs="Times New Roman"/>
                <w:bCs/>
                <w:kern w:val="0"/>
                <w:lang w:eastAsia="ar-SA"/>
              </w:rPr>
              <w:t>556.000,00</w:t>
            </w:r>
            <w:r w:rsidRPr="00702A1E">
              <w:rPr>
                <w:rFonts w:ascii="Times New Roman" w:eastAsia="Times New Roman" w:hAnsi="Times New Roman" w:cs="Times New Roman"/>
                <w:bCs/>
                <w:kern w:val="0"/>
                <w:lang w:eastAsia="ar-SA"/>
              </w:rPr>
              <w:t xml:space="preserve"> € u 202</w:t>
            </w:r>
            <w:r w:rsidR="00530DEF" w:rsidRPr="00702A1E">
              <w:rPr>
                <w:rFonts w:ascii="Times New Roman" w:eastAsia="Times New Roman" w:hAnsi="Times New Roman" w:cs="Times New Roman"/>
                <w:bCs/>
                <w:kern w:val="0"/>
                <w:lang w:eastAsia="ar-SA"/>
              </w:rPr>
              <w:t>6</w:t>
            </w:r>
            <w:r w:rsidRPr="00702A1E">
              <w:rPr>
                <w:rFonts w:ascii="Times New Roman" w:eastAsia="Times New Roman" w:hAnsi="Times New Roman" w:cs="Times New Roman"/>
                <w:bCs/>
                <w:kern w:val="0"/>
                <w:lang w:eastAsia="ar-SA"/>
              </w:rPr>
              <w:t>.g,</w:t>
            </w:r>
          </w:p>
          <w:p w14:paraId="66056055" w14:textId="2279A284" w:rsidR="0074131A" w:rsidRPr="00702A1E" w:rsidRDefault="0074131A" w:rsidP="00C97AA2">
            <w:pPr>
              <w:widowControl/>
              <w:numPr>
                <w:ilvl w:val="0"/>
                <w:numId w:val="13"/>
              </w:numPr>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 xml:space="preserve">pomoći od Ministarstva turizma (za sufinanciranje dodatnih timova HM za vrijeme turističke sezone) i pomoći od jedinica lokalne samouprave (gradovi Trogir i Split, općine Seget i Okrug za sufinanciranje dodatnih timova HM u Trogiru za vrijeme turističke sezone) u iznosu od </w:t>
            </w:r>
            <w:r w:rsidR="00530DEF" w:rsidRPr="00702A1E">
              <w:rPr>
                <w:rFonts w:ascii="Times New Roman" w:eastAsia="Times New Roman" w:hAnsi="Times New Roman" w:cs="Times New Roman"/>
                <w:bCs/>
                <w:kern w:val="0"/>
                <w:lang w:eastAsia="ar-SA"/>
              </w:rPr>
              <w:t>87.000,00</w:t>
            </w:r>
            <w:r w:rsidRPr="00702A1E">
              <w:rPr>
                <w:rFonts w:ascii="Times New Roman" w:eastAsia="Times New Roman" w:hAnsi="Times New Roman" w:cs="Times New Roman"/>
                <w:bCs/>
                <w:kern w:val="0"/>
                <w:lang w:eastAsia="ar-SA"/>
              </w:rPr>
              <w:t xml:space="preserve"> € u 202</w:t>
            </w:r>
            <w:r w:rsidR="00530DEF"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 xml:space="preserve">.g., </w:t>
            </w:r>
            <w:r w:rsidR="00C674A7" w:rsidRPr="00702A1E">
              <w:rPr>
                <w:rFonts w:ascii="Times New Roman" w:eastAsia="Times New Roman" w:hAnsi="Times New Roman" w:cs="Times New Roman"/>
                <w:bCs/>
                <w:kern w:val="0"/>
                <w:lang w:eastAsia="ar-SA"/>
              </w:rPr>
              <w:t>92.000,00</w:t>
            </w:r>
            <w:r w:rsidRPr="00702A1E">
              <w:rPr>
                <w:rFonts w:ascii="Times New Roman" w:eastAsia="Times New Roman" w:hAnsi="Times New Roman" w:cs="Times New Roman"/>
                <w:bCs/>
                <w:kern w:val="0"/>
                <w:lang w:eastAsia="ar-SA"/>
              </w:rPr>
              <w:t xml:space="preserve"> € u 202</w:t>
            </w:r>
            <w:r w:rsidR="00C674A7" w:rsidRPr="00702A1E">
              <w:rPr>
                <w:rFonts w:ascii="Times New Roman" w:eastAsia="Times New Roman" w:hAnsi="Times New Roman" w:cs="Times New Roman"/>
                <w:bCs/>
                <w:kern w:val="0"/>
                <w:lang w:eastAsia="ar-SA"/>
              </w:rPr>
              <w:t>5</w:t>
            </w:r>
            <w:r w:rsidRPr="00702A1E">
              <w:rPr>
                <w:rFonts w:ascii="Times New Roman" w:eastAsia="Times New Roman" w:hAnsi="Times New Roman" w:cs="Times New Roman"/>
                <w:bCs/>
                <w:kern w:val="0"/>
                <w:lang w:eastAsia="ar-SA"/>
              </w:rPr>
              <w:t xml:space="preserve">.g. i </w:t>
            </w:r>
            <w:r w:rsidR="00C674A7" w:rsidRPr="00702A1E">
              <w:rPr>
                <w:rFonts w:ascii="Times New Roman" w:eastAsia="Times New Roman" w:hAnsi="Times New Roman" w:cs="Times New Roman"/>
                <w:bCs/>
                <w:kern w:val="0"/>
                <w:lang w:eastAsia="ar-SA"/>
              </w:rPr>
              <w:t>96.800,00</w:t>
            </w:r>
            <w:r w:rsidRPr="00702A1E">
              <w:rPr>
                <w:rFonts w:ascii="Times New Roman" w:eastAsia="Times New Roman" w:hAnsi="Times New Roman" w:cs="Times New Roman"/>
                <w:bCs/>
                <w:kern w:val="0"/>
                <w:lang w:eastAsia="ar-SA"/>
              </w:rPr>
              <w:t xml:space="preserve"> € u 202</w:t>
            </w:r>
            <w:r w:rsidR="00C674A7" w:rsidRPr="00702A1E">
              <w:rPr>
                <w:rFonts w:ascii="Times New Roman" w:eastAsia="Times New Roman" w:hAnsi="Times New Roman" w:cs="Times New Roman"/>
                <w:bCs/>
                <w:kern w:val="0"/>
                <w:lang w:eastAsia="ar-SA"/>
              </w:rPr>
              <w:t>6</w:t>
            </w:r>
            <w:r w:rsidRPr="00702A1E">
              <w:rPr>
                <w:rFonts w:ascii="Times New Roman" w:eastAsia="Times New Roman" w:hAnsi="Times New Roman" w:cs="Times New Roman"/>
                <w:bCs/>
                <w:kern w:val="0"/>
                <w:lang w:eastAsia="ar-SA"/>
              </w:rPr>
              <w:t>.godini.</w:t>
            </w:r>
          </w:p>
          <w:p w14:paraId="774D9C54" w14:textId="77777777" w:rsidR="0074131A" w:rsidRPr="00702A1E" w:rsidRDefault="0074131A" w:rsidP="00C97AA2">
            <w:pPr>
              <w:widowControl/>
              <w:spacing w:after="0" w:line="240" w:lineRule="auto"/>
              <w:jc w:val="both"/>
              <w:rPr>
                <w:rFonts w:ascii="Times New Roman" w:hAnsi="Times New Roman" w:cs="Times New Roman"/>
                <w:bCs/>
                <w:color w:val="000000"/>
              </w:rPr>
            </w:pPr>
          </w:p>
        </w:tc>
      </w:tr>
      <w:tr w:rsidR="0074131A" w:rsidRPr="00702A1E" w14:paraId="164BA146" w14:textId="77777777" w:rsidTr="00702A1E">
        <w:trPr>
          <w:trHeight w:val="25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BA84075" w14:textId="77777777" w:rsidR="0074131A" w:rsidRPr="00702A1E" w:rsidRDefault="0074131A" w:rsidP="0074131A">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Obrazloženje izračuna financijskih sredstava:</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BD930F" w14:textId="4B7B04AA" w:rsidR="0074131A" w:rsidRPr="00702A1E" w:rsidRDefault="00C674A7" w:rsidP="00C97AA2">
            <w:pPr>
              <w:spacing w:line="240" w:lineRule="auto"/>
              <w:jc w:val="both"/>
              <w:rPr>
                <w:rFonts w:ascii="Times New Roman" w:hAnsi="Times New Roman" w:cs="Times New Roman"/>
                <w:iCs/>
              </w:rPr>
            </w:pPr>
            <w:r w:rsidRPr="00702A1E">
              <w:rPr>
                <w:rFonts w:ascii="Times New Roman" w:hAnsi="Times New Roman" w:cs="Times New Roman"/>
                <w:iCs/>
              </w:rPr>
              <w:t xml:space="preserve">U ovoj aktivnosti u 2024.g. planiraju se prihodi u iznosu od 100.000,00 € (0,4 % od ukupnog plana za 2024.g.) iz proračuna SDŽ za financiranje dodatnih timova, 500.000,00 € (2 % od ukupnog plana za 2024.g.) iz prihoda od HZZO-a za dodatne timove te 87.000,00 € (0,4 % od ukupnog plana za 2024.g.) iz prihoda pomoći iz proračuna jedinica lokalne samouprave i od Ministarstva turizma za dodatne timove. </w:t>
            </w:r>
            <w:r w:rsidR="0074131A" w:rsidRPr="00702A1E">
              <w:rPr>
                <w:rFonts w:ascii="Times New Roman" w:hAnsi="Times New Roman" w:cs="Times New Roman"/>
                <w:iCs/>
              </w:rPr>
              <w:t>U 202</w:t>
            </w:r>
            <w:r w:rsidRPr="00702A1E">
              <w:rPr>
                <w:rFonts w:ascii="Times New Roman" w:hAnsi="Times New Roman" w:cs="Times New Roman"/>
                <w:iCs/>
              </w:rPr>
              <w:t>4</w:t>
            </w:r>
            <w:r w:rsidR="0074131A" w:rsidRPr="00702A1E">
              <w:rPr>
                <w:rFonts w:ascii="Times New Roman" w:hAnsi="Times New Roman" w:cs="Times New Roman"/>
                <w:iCs/>
              </w:rPr>
              <w:t xml:space="preserve">.g. u ovoj aktivnosti financirati će se rashodi za zaposlene u iznosu od </w:t>
            </w:r>
            <w:r w:rsidRPr="00702A1E">
              <w:rPr>
                <w:rFonts w:ascii="Times New Roman" w:hAnsi="Times New Roman" w:cs="Times New Roman"/>
                <w:iCs/>
              </w:rPr>
              <w:t>665.000,00</w:t>
            </w:r>
            <w:r w:rsidR="0074131A" w:rsidRPr="00702A1E">
              <w:rPr>
                <w:rFonts w:ascii="Times New Roman" w:hAnsi="Times New Roman" w:cs="Times New Roman"/>
                <w:iCs/>
              </w:rPr>
              <w:t xml:space="preserve"> € odnosno 2</w:t>
            </w:r>
            <w:r w:rsidR="00E53982" w:rsidRPr="00702A1E">
              <w:rPr>
                <w:rFonts w:ascii="Times New Roman" w:hAnsi="Times New Roman" w:cs="Times New Roman"/>
                <w:iCs/>
              </w:rPr>
              <w:t>,7</w:t>
            </w:r>
            <w:r w:rsidR="0074131A" w:rsidRPr="00702A1E">
              <w:rPr>
                <w:rFonts w:ascii="Times New Roman" w:hAnsi="Times New Roman" w:cs="Times New Roman"/>
                <w:iCs/>
              </w:rPr>
              <w:t xml:space="preserve"> % ukupnog plana, te materijalni rashodi u iznosu od 2</w:t>
            </w:r>
            <w:r w:rsidRPr="00702A1E">
              <w:rPr>
                <w:rFonts w:ascii="Times New Roman" w:hAnsi="Times New Roman" w:cs="Times New Roman"/>
                <w:iCs/>
              </w:rPr>
              <w:t>2</w:t>
            </w:r>
            <w:r w:rsidR="0074131A" w:rsidRPr="00702A1E">
              <w:rPr>
                <w:rFonts w:ascii="Times New Roman" w:hAnsi="Times New Roman" w:cs="Times New Roman"/>
                <w:iCs/>
              </w:rPr>
              <w:t>.</w:t>
            </w:r>
            <w:r w:rsidRPr="00702A1E">
              <w:rPr>
                <w:rFonts w:ascii="Times New Roman" w:hAnsi="Times New Roman" w:cs="Times New Roman"/>
                <w:iCs/>
              </w:rPr>
              <w:t>000,00</w:t>
            </w:r>
            <w:r w:rsidR="0074131A" w:rsidRPr="00702A1E">
              <w:rPr>
                <w:rFonts w:ascii="Times New Roman" w:hAnsi="Times New Roman" w:cs="Times New Roman"/>
                <w:iCs/>
              </w:rPr>
              <w:t xml:space="preserve"> € odnosno  0,1 % ukupnog plana.</w:t>
            </w:r>
          </w:p>
          <w:p w14:paraId="23BF7606" w14:textId="25CBFC8E" w:rsidR="0074131A" w:rsidRPr="00702A1E" w:rsidRDefault="00E53982" w:rsidP="00C97AA2">
            <w:pPr>
              <w:spacing w:line="240" w:lineRule="auto"/>
              <w:jc w:val="both"/>
              <w:rPr>
                <w:rFonts w:ascii="Times New Roman" w:hAnsi="Times New Roman" w:cs="Times New Roman"/>
              </w:rPr>
            </w:pPr>
            <w:r w:rsidRPr="00702A1E">
              <w:rPr>
                <w:rFonts w:ascii="Times New Roman" w:eastAsia="Times New Roman" w:hAnsi="Times New Roman" w:cs="Times New Roman"/>
                <w:bCs/>
                <w:kern w:val="0"/>
                <w:lang w:eastAsia="ar-SA"/>
              </w:rPr>
              <w:t xml:space="preserve">Planirana sredstva u 2025.g. ukupno su veća za 5,4 % u odnosu na 2024.g. jer se planira veći prihod zbog </w:t>
            </w:r>
            <w:r w:rsidR="005D7065" w:rsidRPr="00702A1E">
              <w:rPr>
                <w:rFonts w:ascii="Times New Roman" w:eastAsia="Times New Roman" w:hAnsi="Times New Roman" w:cs="Times New Roman"/>
                <w:bCs/>
                <w:kern w:val="0"/>
                <w:lang w:eastAsia="ar-SA"/>
              </w:rPr>
              <w:t xml:space="preserve">uključivanja </w:t>
            </w:r>
            <w:r w:rsidRPr="00702A1E">
              <w:rPr>
                <w:rFonts w:ascii="Times New Roman" w:eastAsia="Times New Roman" w:hAnsi="Times New Roman" w:cs="Times New Roman"/>
                <w:bCs/>
                <w:kern w:val="0"/>
                <w:lang w:eastAsia="ar-SA"/>
              </w:rPr>
              <w:t xml:space="preserve">privremenog dodatka i </w:t>
            </w:r>
            <w:r w:rsidR="005D7065" w:rsidRPr="00702A1E">
              <w:rPr>
                <w:rFonts w:ascii="Times New Roman" w:eastAsia="Times New Roman" w:hAnsi="Times New Roman" w:cs="Times New Roman"/>
                <w:bCs/>
                <w:kern w:val="0"/>
                <w:lang w:eastAsia="ar-SA"/>
              </w:rPr>
              <w:t xml:space="preserve">zbog redovnog povećanja za </w:t>
            </w:r>
            <w:r w:rsidRPr="00702A1E">
              <w:rPr>
                <w:rFonts w:ascii="Times New Roman" w:eastAsia="Times New Roman" w:hAnsi="Times New Roman" w:cs="Times New Roman"/>
                <w:bCs/>
                <w:kern w:val="0"/>
                <w:lang w:eastAsia="ar-SA"/>
              </w:rPr>
              <w:t>minu</w:t>
            </w:r>
            <w:r w:rsidR="005D7065" w:rsidRPr="00702A1E">
              <w:rPr>
                <w:rFonts w:ascii="Times New Roman" w:eastAsia="Times New Roman" w:hAnsi="Times New Roman" w:cs="Times New Roman"/>
                <w:bCs/>
                <w:kern w:val="0"/>
                <w:lang w:eastAsia="ar-SA"/>
              </w:rPr>
              <w:t>li</w:t>
            </w:r>
            <w:r w:rsidRPr="00702A1E">
              <w:rPr>
                <w:rFonts w:ascii="Times New Roman" w:eastAsia="Times New Roman" w:hAnsi="Times New Roman" w:cs="Times New Roman"/>
                <w:bCs/>
                <w:kern w:val="0"/>
                <w:lang w:eastAsia="ar-SA"/>
              </w:rPr>
              <w:t xml:space="preserve"> staž. </w:t>
            </w:r>
            <w:r w:rsidR="005D7065" w:rsidRPr="00702A1E">
              <w:rPr>
                <w:rFonts w:ascii="Times New Roman" w:eastAsia="Times New Roman" w:hAnsi="Times New Roman" w:cs="Times New Roman"/>
                <w:bCs/>
                <w:kern w:val="0"/>
                <w:lang w:eastAsia="ar-SA"/>
              </w:rPr>
              <w:t xml:space="preserve">Uravnoteženo prihodima u 2025.g. planiraju se </w:t>
            </w:r>
            <w:r w:rsidR="0074131A" w:rsidRPr="00702A1E">
              <w:rPr>
                <w:rFonts w:ascii="Times New Roman" w:hAnsi="Times New Roman" w:cs="Times New Roman"/>
                <w:iCs/>
              </w:rPr>
              <w:t xml:space="preserve">rashodi za zaposlene u iznosu od </w:t>
            </w:r>
            <w:r w:rsidR="00787DD7" w:rsidRPr="00702A1E">
              <w:rPr>
                <w:rFonts w:ascii="Times New Roman" w:hAnsi="Times New Roman" w:cs="Times New Roman"/>
                <w:iCs/>
              </w:rPr>
              <w:t>702.000,00</w:t>
            </w:r>
            <w:r w:rsidR="0074131A" w:rsidRPr="00702A1E">
              <w:rPr>
                <w:rFonts w:ascii="Times New Roman" w:hAnsi="Times New Roman" w:cs="Times New Roman"/>
                <w:iCs/>
              </w:rPr>
              <w:t xml:space="preserve"> </w:t>
            </w:r>
            <w:r w:rsidR="0074131A" w:rsidRPr="00702A1E">
              <w:rPr>
                <w:rFonts w:ascii="Times New Roman" w:eastAsia="Times New Roman" w:hAnsi="Times New Roman" w:cs="Times New Roman"/>
                <w:bCs/>
                <w:kern w:val="0"/>
                <w:lang w:eastAsia="ar-SA"/>
              </w:rPr>
              <w:t>€ (veći</w:t>
            </w:r>
            <w:r w:rsidR="0074131A" w:rsidRPr="00702A1E">
              <w:rPr>
                <w:rFonts w:ascii="Times New Roman" w:hAnsi="Times New Roman" w:cs="Times New Roman"/>
                <w:iCs/>
              </w:rPr>
              <w:t xml:space="preserve"> su za </w:t>
            </w:r>
            <w:r w:rsidR="00787DD7" w:rsidRPr="00702A1E">
              <w:rPr>
                <w:rFonts w:ascii="Times New Roman" w:hAnsi="Times New Roman" w:cs="Times New Roman"/>
                <w:iCs/>
              </w:rPr>
              <w:t>5,6</w:t>
            </w:r>
            <w:r w:rsidR="0074131A" w:rsidRPr="00702A1E">
              <w:rPr>
                <w:rFonts w:ascii="Times New Roman" w:hAnsi="Times New Roman" w:cs="Times New Roman"/>
                <w:iCs/>
              </w:rPr>
              <w:t xml:space="preserve"> % u odnosu na 202</w:t>
            </w:r>
            <w:r w:rsidR="00787DD7" w:rsidRPr="00702A1E">
              <w:rPr>
                <w:rFonts w:ascii="Times New Roman" w:hAnsi="Times New Roman" w:cs="Times New Roman"/>
                <w:iCs/>
              </w:rPr>
              <w:t>4</w:t>
            </w:r>
            <w:r w:rsidR="0074131A" w:rsidRPr="00702A1E">
              <w:rPr>
                <w:rFonts w:ascii="Times New Roman" w:hAnsi="Times New Roman" w:cs="Times New Roman"/>
                <w:iCs/>
              </w:rPr>
              <w:t>.g.</w:t>
            </w:r>
            <w:r w:rsidR="005D7065" w:rsidRPr="00702A1E">
              <w:rPr>
                <w:rFonts w:ascii="Times New Roman" w:hAnsi="Times New Roman" w:cs="Times New Roman"/>
                <w:iCs/>
              </w:rPr>
              <w:t>) i</w:t>
            </w:r>
            <w:r w:rsidR="0074131A" w:rsidRPr="00702A1E">
              <w:rPr>
                <w:rFonts w:ascii="Times New Roman" w:hAnsi="Times New Roman" w:cs="Times New Roman"/>
                <w:iCs/>
              </w:rPr>
              <w:t xml:space="preserve"> materijalni rashodi u iznosu od </w:t>
            </w:r>
            <w:r w:rsidR="00787DD7" w:rsidRPr="00702A1E">
              <w:rPr>
                <w:rFonts w:ascii="Times New Roman" w:hAnsi="Times New Roman" w:cs="Times New Roman"/>
                <w:iCs/>
              </w:rPr>
              <w:t>22.000,00</w:t>
            </w:r>
            <w:r w:rsidR="0074131A" w:rsidRPr="00702A1E">
              <w:rPr>
                <w:rFonts w:ascii="Times New Roman" w:hAnsi="Times New Roman" w:cs="Times New Roman"/>
                <w:iCs/>
              </w:rPr>
              <w:t xml:space="preserve">  </w:t>
            </w:r>
            <w:r w:rsidR="0074131A" w:rsidRPr="00702A1E">
              <w:rPr>
                <w:rFonts w:ascii="Times New Roman" w:eastAsia="Times New Roman" w:hAnsi="Times New Roman" w:cs="Times New Roman"/>
                <w:bCs/>
                <w:kern w:val="0"/>
                <w:lang w:eastAsia="ar-SA"/>
              </w:rPr>
              <w:t>€</w:t>
            </w:r>
            <w:r w:rsidR="005D7065" w:rsidRPr="00702A1E">
              <w:rPr>
                <w:rFonts w:ascii="Times New Roman" w:eastAsia="Times New Roman" w:hAnsi="Times New Roman" w:cs="Times New Roman"/>
                <w:bCs/>
                <w:kern w:val="0"/>
                <w:lang w:eastAsia="ar-SA"/>
              </w:rPr>
              <w:t xml:space="preserve"> (ostaju na razini rashoda u 2024.g.).</w:t>
            </w:r>
          </w:p>
          <w:p w14:paraId="6E6E3DF4" w14:textId="2BDBAEC1" w:rsidR="0074131A" w:rsidRPr="00702A1E" w:rsidRDefault="0074131A" w:rsidP="00C97AA2">
            <w:pPr>
              <w:spacing w:line="240" w:lineRule="auto"/>
              <w:jc w:val="both"/>
              <w:rPr>
                <w:rFonts w:ascii="Times New Roman" w:hAnsi="Times New Roman" w:cs="Times New Roman"/>
                <w:iCs/>
              </w:rPr>
            </w:pPr>
            <w:r w:rsidRPr="00702A1E">
              <w:rPr>
                <w:rFonts w:ascii="Times New Roman" w:hAnsi="Times New Roman" w:cs="Times New Roman"/>
                <w:iCs/>
              </w:rPr>
              <w:t>U 202</w:t>
            </w:r>
            <w:r w:rsidR="00787DD7" w:rsidRPr="00702A1E">
              <w:rPr>
                <w:rFonts w:ascii="Times New Roman" w:hAnsi="Times New Roman" w:cs="Times New Roman"/>
                <w:iCs/>
              </w:rPr>
              <w:t>6</w:t>
            </w:r>
            <w:r w:rsidRPr="00702A1E">
              <w:rPr>
                <w:rFonts w:ascii="Times New Roman" w:hAnsi="Times New Roman" w:cs="Times New Roman"/>
                <w:iCs/>
              </w:rPr>
              <w:t xml:space="preserve">. godini </w:t>
            </w:r>
            <w:r w:rsidR="005D7065" w:rsidRPr="00702A1E">
              <w:rPr>
                <w:rFonts w:ascii="Times New Roman" w:hAnsi="Times New Roman" w:cs="Times New Roman"/>
                <w:iCs/>
              </w:rPr>
              <w:t xml:space="preserve">planirani prihodi su veći za 5,4% u odnosu na 2025.g. te se uravnoteženo prihodima planiraju rashodi za </w:t>
            </w:r>
            <w:r w:rsidRPr="00702A1E">
              <w:rPr>
                <w:rFonts w:ascii="Times New Roman" w:hAnsi="Times New Roman" w:cs="Times New Roman"/>
                <w:iCs/>
              </w:rPr>
              <w:t xml:space="preserve">zaposlene u iznosu od </w:t>
            </w:r>
            <w:r w:rsidR="00787DD7" w:rsidRPr="00702A1E">
              <w:rPr>
                <w:rFonts w:ascii="Times New Roman" w:hAnsi="Times New Roman" w:cs="Times New Roman"/>
                <w:iCs/>
              </w:rPr>
              <w:t>740.800,00</w:t>
            </w:r>
            <w:r w:rsidRPr="00702A1E">
              <w:rPr>
                <w:rFonts w:ascii="Times New Roman" w:hAnsi="Times New Roman" w:cs="Times New Roman"/>
                <w:iCs/>
              </w:rPr>
              <w:t xml:space="preserve"> </w:t>
            </w:r>
            <w:r w:rsidRPr="00702A1E">
              <w:rPr>
                <w:rFonts w:ascii="Times New Roman" w:eastAsia="Times New Roman" w:hAnsi="Times New Roman" w:cs="Times New Roman"/>
                <w:bCs/>
                <w:kern w:val="0"/>
                <w:lang w:eastAsia="ar-SA"/>
              </w:rPr>
              <w:t xml:space="preserve">€ (veći su </w:t>
            </w:r>
            <w:r w:rsidRPr="00702A1E">
              <w:rPr>
                <w:rFonts w:ascii="Times New Roman" w:hAnsi="Times New Roman" w:cs="Times New Roman"/>
                <w:iCs/>
              </w:rPr>
              <w:t xml:space="preserve">za </w:t>
            </w:r>
            <w:r w:rsidR="00787DD7" w:rsidRPr="00702A1E">
              <w:rPr>
                <w:rFonts w:ascii="Times New Roman" w:hAnsi="Times New Roman" w:cs="Times New Roman"/>
                <w:iCs/>
              </w:rPr>
              <w:t>5,5</w:t>
            </w:r>
            <w:r w:rsidRPr="00702A1E">
              <w:rPr>
                <w:rFonts w:ascii="Times New Roman" w:hAnsi="Times New Roman" w:cs="Times New Roman"/>
                <w:iCs/>
              </w:rPr>
              <w:t xml:space="preserve"> % u odnosu na 202</w:t>
            </w:r>
            <w:r w:rsidR="00787DD7" w:rsidRPr="00702A1E">
              <w:rPr>
                <w:rFonts w:ascii="Times New Roman" w:hAnsi="Times New Roman" w:cs="Times New Roman"/>
                <w:iCs/>
              </w:rPr>
              <w:t>5</w:t>
            </w:r>
            <w:r w:rsidRPr="00702A1E">
              <w:rPr>
                <w:rFonts w:ascii="Times New Roman" w:hAnsi="Times New Roman" w:cs="Times New Roman"/>
                <w:iCs/>
              </w:rPr>
              <w:t xml:space="preserve">.g.) </w:t>
            </w:r>
            <w:r w:rsidR="005D7065" w:rsidRPr="00702A1E">
              <w:rPr>
                <w:rFonts w:ascii="Times New Roman" w:hAnsi="Times New Roman" w:cs="Times New Roman"/>
                <w:iCs/>
              </w:rPr>
              <w:t>i materijal</w:t>
            </w:r>
            <w:r w:rsidRPr="00702A1E">
              <w:rPr>
                <w:rFonts w:ascii="Times New Roman" w:hAnsi="Times New Roman" w:cs="Times New Roman"/>
                <w:iCs/>
              </w:rPr>
              <w:t xml:space="preserve">ni rashodi u iznosu od </w:t>
            </w:r>
            <w:r w:rsidR="00787DD7" w:rsidRPr="00702A1E">
              <w:rPr>
                <w:rFonts w:ascii="Times New Roman" w:hAnsi="Times New Roman" w:cs="Times New Roman"/>
                <w:iCs/>
              </w:rPr>
              <w:t>22.000,00</w:t>
            </w:r>
            <w:r w:rsidRPr="00702A1E">
              <w:rPr>
                <w:rFonts w:ascii="Times New Roman" w:hAnsi="Times New Roman" w:cs="Times New Roman"/>
                <w:iCs/>
              </w:rPr>
              <w:t xml:space="preserve">  </w:t>
            </w:r>
            <w:r w:rsidRPr="00702A1E">
              <w:rPr>
                <w:rFonts w:ascii="Times New Roman" w:eastAsia="Times New Roman" w:hAnsi="Times New Roman" w:cs="Times New Roman"/>
                <w:bCs/>
                <w:kern w:val="0"/>
                <w:lang w:eastAsia="ar-SA"/>
              </w:rPr>
              <w:t xml:space="preserve">€. </w:t>
            </w:r>
          </w:p>
        </w:tc>
      </w:tr>
      <w:tr w:rsidR="0074131A" w:rsidRPr="00702A1E" w14:paraId="06BAB491" w14:textId="77777777" w:rsidTr="00702A1E">
        <w:trPr>
          <w:trHeight w:val="257"/>
        </w:trPr>
        <w:tc>
          <w:tcPr>
            <w:tcW w:w="945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tbl>
            <w:tblPr>
              <w:tblW w:w="9209" w:type="dxa"/>
              <w:tblLayout w:type="fixed"/>
              <w:tblCellMar>
                <w:left w:w="10" w:type="dxa"/>
                <w:right w:w="10" w:type="dxa"/>
              </w:tblCellMar>
              <w:tblLook w:val="04A0" w:firstRow="1" w:lastRow="0" w:firstColumn="1" w:lastColumn="0" w:noHBand="0" w:noVBand="1"/>
            </w:tblPr>
            <w:tblGrid>
              <w:gridCol w:w="1580"/>
              <w:gridCol w:w="1378"/>
              <w:gridCol w:w="1492"/>
              <w:gridCol w:w="1492"/>
              <w:gridCol w:w="1566"/>
              <w:gridCol w:w="1701"/>
            </w:tblGrid>
            <w:tr w:rsidR="00820E7E" w:rsidRPr="00702A1E" w14:paraId="7E4CF4C3"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E76A68F" w14:textId="50B46774"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Izvršeno 2022.</w:t>
                  </w:r>
                </w:p>
              </w:tc>
              <w:tc>
                <w:tcPr>
                  <w:tcW w:w="137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8E0BBA0" w14:textId="563C9AA9" w:rsidR="00820E7E" w:rsidRPr="00820E7E" w:rsidRDefault="00820E7E" w:rsidP="00820E7E">
                  <w:pPr>
                    <w:widowControl/>
                    <w:spacing w:after="0" w:line="240" w:lineRule="auto"/>
                    <w:jc w:val="center"/>
                    <w:textAlignment w:val="baseline"/>
                    <w:rPr>
                      <w:rFonts w:ascii="Times New Roman" w:hAnsi="Times New Roman" w:cs="Times New Roman"/>
                    </w:rPr>
                  </w:pPr>
                  <w:r w:rsidRPr="00820E7E">
                    <w:rPr>
                      <w:rFonts w:ascii="Times New Roman" w:hAnsi="Times New Roman" w:cs="Times New Roman"/>
                      <w:b/>
                      <w:bCs/>
                      <w:color w:val="000000"/>
                    </w:rPr>
                    <w:t>Financijski plan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08AD6BF" w14:textId="7CFFE5EC" w:rsidR="00820E7E" w:rsidRPr="00820E7E" w:rsidRDefault="00820E7E" w:rsidP="00820E7E">
                  <w:pPr>
                    <w:widowControl/>
                    <w:spacing w:after="0" w:line="240" w:lineRule="auto"/>
                    <w:jc w:val="center"/>
                    <w:textAlignment w:val="baseline"/>
                    <w:rPr>
                      <w:rFonts w:ascii="Times New Roman" w:hAnsi="Times New Roman" w:cs="Times New Roman"/>
                    </w:rPr>
                  </w:pPr>
                  <w:r w:rsidRPr="00820E7E">
                    <w:rPr>
                      <w:rFonts w:ascii="Times New Roman" w:hAnsi="Times New Roman" w:cs="Times New Roman"/>
                      <w:b/>
                      <w:bCs/>
                      <w:color w:val="000000"/>
                    </w:rPr>
                    <w:t>II. Rebalans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95D2D43" w14:textId="090FDD5B"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Plan 2024.</w:t>
                  </w:r>
                </w:p>
              </w:tc>
              <w:tc>
                <w:tcPr>
                  <w:tcW w:w="15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69E2EF1" w14:textId="40ABB20B"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Projekcija 2025.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D7BB7F5" w14:textId="15DA1C80"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Projekcija 2026.</w:t>
                  </w:r>
                </w:p>
              </w:tc>
            </w:tr>
            <w:tr w:rsidR="00820E7E" w:rsidRPr="00702A1E" w14:paraId="42DA479F"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56D6F9" w14:textId="06846313" w:rsidR="00820E7E" w:rsidRPr="00702A1E" w:rsidRDefault="00820E7E" w:rsidP="00820E7E">
                  <w:pPr>
                    <w:widowControl/>
                    <w:spacing w:after="0" w:line="240" w:lineRule="auto"/>
                    <w:jc w:val="right"/>
                    <w:textAlignment w:val="baseline"/>
                    <w:rPr>
                      <w:rFonts w:ascii="Times New Roman" w:hAnsi="Times New Roman" w:cs="Times New Roman"/>
                      <w:b/>
                      <w:bCs/>
                    </w:rPr>
                  </w:pPr>
                  <w:r w:rsidRPr="00702A1E">
                    <w:rPr>
                      <w:rFonts w:ascii="Times New Roman" w:hAnsi="Times New Roman" w:cs="Times New Roman"/>
                      <w:b/>
                      <w:bCs/>
                    </w:rPr>
                    <w:t>439.376,45 €</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81EB4B" w14:textId="55CF75EE" w:rsidR="00820E7E" w:rsidRPr="00702A1E" w:rsidRDefault="00820E7E" w:rsidP="00820E7E">
                  <w:pPr>
                    <w:widowControl/>
                    <w:spacing w:after="0" w:line="240" w:lineRule="auto"/>
                    <w:jc w:val="right"/>
                    <w:textAlignment w:val="baseline"/>
                    <w:rPr>
                      <w:rFonts w:ascii="Times New Roman" w:hAnsi="Times New Roman" w:cs="Times New Roman"/>
                      <w:b/>
                      <w:bCs/>
                    </w:rPr>
                  </w:pPr>
                  <w:r w:rsidRPr="00702A1E">
                    <w:rPr>
                      <w:rFonts w:ascii="Times New Roman" w:hAnsi="Times New Roman" w:cs="Times New Roman"/>
                      <w:b/>
                      <w:bCs/>
                    </w:rPr>
                    <w:t>451.390,26 €</w:t>
                  </w:r>
                </w:p>
              </w:tc>
              <w:tc>
                <w:tcPr>
                  <w:tcW w:w="14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2C781B" w14:textId="1E297F77" w:rsidR="00820E7E" w:rsidRPr="00702A1E" w:rsidRDefault="00487224" w:rsidP="00820E7E">
                  <w:pPr>
                    <w:widowControl/>
                    <w:spacing w:after="0" w:line="240" w:lineRule="auto"/>
                    <w:jc w:val="right"/>
                    <w:textAlignment w:val="baseline"/>
                    <w:rPr>
                      <w:rFonts w:ascii="Times New Roman" w:hAnsi="Times New Roman" w:cs="Times New Roman"/>
                      <w:b/>
                      <w:bCs/>
                    </w:rPr>
                  </w:pPr>
                  <w:r>
                    <w:rPr>
                      <w:rFonts w:ascii="Times New Roman" w:hAnsi="Times New Roman" w:cs="Times New Roman"/>
                      <w:b/>
                      <w:bCs/>
                    </w:rPr>
                    <w:t xml:space="preserve">678.024,87 </w:t>
                  </w:r>
                  <w:r w:rsidR="00820E7E" w:rsidRPr="00702A1E">
                    <w:rPr>
                      <w:rFonts w:ascii="Times New Roman" w:hAnsi="Times New Roman" w:cs="Times New Roman"/>
                      <w:b/>
                      <w:bCs/>
                    </w:rPr>
                    <w:t>€</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8982C" w14:textId="764E165E" w:rsidR="00820E7E" w:rsidRPr="00702A1E" w:rsidRDefault="00820E7E" w:rsidP="00820E7E">
                  <w:pPr>
                    <w:widowControl/>
                    <w:spacing w:after="0" w:line="240" w:lineRule="auto"/>
                    <w:jc w:val="right"/>
                    <w:textAlignment w:val="baseline"/>
                    <w:rPr>
                      <w:rFonts w:ascii="Times New Roman" w:hAnsi="Times New Roman" w:cs="Times New Roman"/>
                      <w:b/>
                      <w:bCs/>
                    </w:rPr>
                  </w:pPr>
                  <w:r w:rsidRPr="00702A1E">
                    <w:rPr>
                      <w:rFonts w:ascii="Times New Roman" w:hAnsi="Times New Roman" w:cs="Times New Roman"/>
                      <w:b/>
                      <w:bCs/>
                    </w:rPr>
                    <w:t>687.000,00 €</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C2AD32" w14:textId="2DDA2641" w:rsidR="00820E7E" w:rsidRPr="00702A1E" w:rsidRDefault="00820E7E" w:rsidP="00820E7E">
                  <w:pPr>
                    <w:widowControl/>
                    <w:spacing w:after="0" w:line="240" w:lineRule="auto"/>
                    <w:jc w:val="right"/>
                    <w:textAlignment w:val="baseline"/>
                    <w:rPr>
                      <w:rFonts w:ascii="Times New Roman" w:hAnsi="Times New Roman" w:cs="Times New Roman"/>
                      <w:b/>
                      <w:bCs/>
                    </w:rPr>
                  </w:pPr>
                  <w:r w:rsidRPr="00702A1E">
                    <w:rPr>
                      <w:rFonts w:ascii="Times New Roman" w:hAnsi="Times New Roman" w:cs="Times New Roman"/>
                      <w:b/>
                      <w:bCs/>
                    </w:rPr>
                    <w:t>724.000,00 €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7B2F81" w14:textId="02DF0B87" w:rsidR="00820E7E" w:rsidRPr="00702A1E" w:rsidRDefault="00820E7E" w:rsidP="00820E7E">
                  <w:pPr>
                    <w:widowControl/>
                    <w:spacing w:after="0" w:line="240" w:lineRule="auto"/>
                    <w:jc w:val="right"/>
                    <w:textAlignment w:val="baseline"/>
                    <w:rPr>
                      <w:rFonts w:ascii="Times New Roman" w:hAnsi="Times New Roman" w:cs="Times New Roman"/>
                      <w:b/>
                      <w:bCs/>
                    </w:rPr>
                  </w:pPr>
                  <w:r w:rsidRPr="00702A1E">
                    <w:rPr>
                      <w:rFonts w:ascii="Times New Roman" w:hAnsi="Times New Roman" w:cs="Times New Roman"/>
                      <w:b/>
                      <w:bCs/>
                    </w:rPr>
                    <w:t>762.800,00 €</w:t>
                  </w:r>
                </w:p>
              </w:tc>
            </w:tr>
          </w:tbl>
          <w:p w14:paraId="4AFA7DD8" w14:textId="77777777" w:rsidR="0074131A" w:rsidRPr="00702A1E" w:rsidRDefault="0074131A" w:rsidP="0074131A">
            <w:pPr>
              <w:widowControl/>
              <w:spacing w:after="0" w:line="240" w:lineRule="auto"/>
              <w:textAlignment w:val="baseline"/>
              <w:rPr>
                <w:rFonts w:ascii="Times New Roman" w:eastAsia="Times New Roman" w:hAnsi="Times New Roman" w:cs="Times New Roman"/>
                <w:bCs/>
                <w:color w:val="000000"/>
                <w:lang w:eastAsia="hr-HR"/>
              </w:rPr>
            </w:pPr>
          </w:p>
        </w:tc>
      </w:tr>
      <w:tr w:rsidR="0074131A" w:rsidRPr="00702A1E" w14:paraId="1670FF08" w14:textId="77777777" w:rsidTr="00702A1E">
        <w:trPr>
          <w:trHeight w:val="25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ADE422" w14:textId="46E63515" w:rsidR="0074131A" w:rsidRPr="00702A1E" w:rsidRDefault="0074131A" w:rsidP="0074131A">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color w:val="000000"/>
                <w:lang w:eastAsia="hr-HR"/>
              </w:rPr>
              <w:t xml:space="preserve">Obrazloženja </w:t>
            </w:r>
            <w:r w:rsidRPr="00702A1E">
              <w:rPr>
                <w:rFonts w:ascii="Times New Roman" w:eastAsia="Times New Roman" w:hAnsi="Times New Roman" w:cs="Times New Roman"/>
                <w:b/>
                <w:color w:val="000000"/>
                <w:lang w:eastAsia="hr-HR"/>
              </w:rPr>
              <w:lastRenderedPageBreak/>
              <w:t>odstupanja od projekcija za 202</w:t>
            </w:r>
            <w:r w:rsidR="004D22C2" w:rsidRPr="00702A1E">
              <w:rPr>
                <w:rFonts w:ascii="Times New Roman" w:eastAsia="Times New Roman" w:hAnsi="Times New Roman" w:cs="Times New Roman"/>
                <w:b/>
                <w:color w:val="000000"/>
                <w:lang w:eastAsia="hr-HR"/>
              </w:rPr>
              <w:t>4</w:t>
            </w:r>
            <w:r w:rsidRPr="00702A1E">
              <w:rPr>
                <w:rFonts w:ascii="Times New Roman" w:eastAsia="Times New Roman" w:hAnsi="Times New Roman" w:cs="Times New Roman"/>
                <w:b/>
                <w:color w:val="000000"/>
                <w:lang w:eastAsia="hr-HR"/>
              </w:rPr>
              <w:t>. i 202</w:t>
            </w:r>
            <w:r w:rsidR="004D22C2" w:rsidRPr="00702A1E">
              <w:rPr>
                <w:rFonts w:ascii="Times New Roman" w:eastAsia="Times New Roman" w:hAnsi="Times New Roman" w:cs="Times New Roman"/>
                <w:b/>
                <w:color w:val="000000"/>
                <w:lang w:eastAsia="hr-HR"/>
              </w:rPr>
              <w:t>5</w:t>
            </w:r>
            <w:r w:rsidRPr="00702A1E">
              <w:rPr>
                <w:rFonts w:ascii="Times New Roman" w:eastAsia="Times New Roman" w:hAnsi="Times New Roman" w:cs="Times New Roman"/>
                <w:b/>
                <w:color w:val="000000"/>
                <w:lang w:eastAsia="hr-HR"/>
              </w:rPr>
              <w:t>. usvojenih u prošlogodišnjem Proračunu</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15D4CE" w14:textId="77777777" w:rsidR="0074131A" w:rsidRPr="00702A1E" w:rsidRDefault="0074131A" w:rsidP="00C97AA2">
            <w:pPr>
              <w:widowControl/>
              <w:spacing w:after="0" w:line="240" w:lineRule="auto"/>
              <w:textAlignment w:val="baseline"/>
              <w:rPr>
                <w:rFonts w:ascii="Times New Roman" w:eastAsia="Times New Roman" w:hAnsi="Times New Roman" w:cs="Times New Roman"/>
                <w:i/>
                <w:color w:val="FF0000"/>
                <w:lang w:eastAsia="hr-HR"/>
              </w:rPr>
            </w:pPr>
          </w:p>
          <w:p w14:paraId="57157B09" w14:textId="77777777" w:rsidR="00F37CA0" w:rsidRPr="00702A1E" w:rsidRDefault="00F37CA0" w:rsidP="00C97AA2">
            <w:pPr>
              <w:widowControl/>
              <w:snapToGrid w:val="0"/>
              <w:spacing w:after="0" w:line="240" w:lineRule="auto"/>
              <w:jc w:val="both"/>
              <w:rPr>
                <w:rFonts w:ascii="Times New Roman" w:hAnsi="Times New Roman" w:cs="Times New Roman"/>
                <w:bCs/>
                <w:color w:val="000000"/>
              </w:rPr>
            </w:pPr>
          </w:p>
          <w:p w14:paraId="3D919E41" w14:textId="774FD3B7" w:rsidR="0074131A" w:rsidRPr="00702A1E" w:rsidRDefault="0074131A" w:rsidP="00C97AA2">
            <w:pPr>
              <w:widowControl/>
              <w:snapToGrid w:val="0"/>
              <w:spacing w:after="0" w:line="240" w:lineRule="auto"/>
              <w:jc w:val="both"/>
              <w:rPr>
                <w:rFonts w:ascii="Times New Roman" w:hAnsi="Times New Roman" w:cs="Times New Roman"/>
              </w:rPr>
            </w:pPr>
            <w:r w:rsidRPr="00702A1E">
              <w:rPr>
                <w:rFonts w:ascii="Times New Roman" w:hAnsi="Times New Roman" w:cs="Times New Roman"/>
                <w:bCs/>
                <w:color w:val="000000"/>
              </w:rPr>
              <w:lastRenderedPageBreak/>
              <w:t xml:space="preserve">U odnosu na prošlogodišnje projekcije ova aktivnost je povećana za </w:t>
            </w:r>
            <w:r w:rsidR="004D22C2" w:rsidRPr="00702A1E">
              <w:rPr>
                <w:rFonts w:ascii="Times New Roman" w:hAnsi="Times New Roman" w:cs="Times New Roman"/>
                <w:bCs/>
                <w:color w:val="000000"/>
              </w:rPr>
              <w:t>51,7</w:t>
            </w:r>
            <w:r w:rsidRPr="00702A1E">
              <w:rPr>
                <w:rFonts w:ascii="Times New Roman" w:hAnsi="Times New Roman" w:cs="Times New Roman"/>
                <w:bCs/>
                <w:color w:val="000000"/>
              </w:rPr>
              <w:t xml:space="preserve"> % u 202</w:t>
            </w:r>
            <w:r w:rsidR="004D22C2" w:rsidRPr="00702A1E">
              <w:rPr>
                <w:rFonts w:ascii="Times New Roman" w:hAnsi="Times New Roman" w:cs="Times New Roman"/>
                <w:bCs/>
                <w:color w:val="000000"/>
              </w:rPr>
              <w:t>4</w:t>
            </w:r>
            <w:r w:rsidRPr="00702A1E">
              <w:rPr>
                <w:rFonts w:ascii="Times New Roman" w:hAnsi="Times New Roman" w:cs="Times New Roman"/>
                <w:bCs/>
                <w:color w:val="000000"/>
              </w:rPr>
              <w:t xml:space="preserve">.g. i </w:t>
            </w:r>
            <w:r w:rsidR="004D22C2" w:rsidRPr="00702A1E">
              <w:rPr>
                <w:rFonts w:ascii="Times New Roman" w:hAnsi="Times New Roman" w:cs="Times New Roman"/>
                <w:bCs/>
                <w:color w:val="000000"/>
              </w:rPr>
              <w:t>za 59,3 % u</w:t>
            </w:r>
            <w:r w:rsidRPr="00702A1E">
              <w:rPr>
                <w:rFonts w:ascii="Times New Roman" w:hAnsi="Times New Roman" w:cs="Times New Roman"/>
                <w:bCs/>
                <w:color w:val="000000"/>
              </w:rPr>
              <w:t xml:space="preserve"> 202</w:t>
            </w:r>
            <w:r w:rsidR="004D22C2" w:rsidRPr="00702A1E">
              <w:rPr>
                <w:rFonts w:ascii="Times New Roman" w:hAnsi="Times New Roman" w:cs="Times New Roman"/>
                <w:bCs/>
                <w:color w:val="000000"/>
              </w:rPr>
              <w:t>5</w:t>
            </w:r>
            <w:r w:rsidRPr="00702A1E">
              <w:rPr>
                <w:rFonts w:ascii="Times New Roman" w:hAnsi="Times New Roman" w:cs="Times New Roman"/>
                <w:bCs/>
                <w:color w:val="000000"/>
              </w:rPr>
              <w:t xml:space="preserve">.g. Razlog navedenog povećanja je u porastu osnovice </w:t>
            </w:r>
            <w:r w:rsidR="004D22C2" w:rsidRPr="00702A1E">
              <w:rPr>
                <w:rFonts w:ascii="Times New Roman" w:hAnsi="Times New Roman" w:cs="Times New Roman"/>
                <w:bCs/>
                <w:color w:val="000000"/>
              </w:rPr>
              <w:t xml:space="preserve">i koeficijenata </w:t>
            </w:r>
            <w:r w:rsidRPr="00702A1E">
              <w:rPr>
                <w:rFonts w:ascii="Times New Roman" w:hAnsi="Times New Roman" w:cs="Times New Roman"/>
                <w:bCs/>
                <w:color w:val="000000"/>
              </w:rPr>
              <w:t>za obračun plaće,</w:t>
            </w:r>
            <w:r w:rsidR="004D22C2" w:rsidRPr="00702A1E">
              <w:rPr>
                <w:rFonts w:ascii="Times New Roman" w:hAnsi="Times New Roman" w:cs="Times New Roman"/>
                <w:bCs/>
                <w:color w:val="000000"/>
              </w:rPr>
              <w:t xml:space="preserve"> </w:t>
            </w:r>
            <w:r w:rsidR="007C6E27" w:rsidRPr="00702A1E">
              <w:rPr>
                <w:rFonts w:ascii="Times New Roman" w:hAnsi="Times New Roman" w:cs="Times New Roman"/>
                <w:bCs/>
                <w:color w:val="000000"/>
              </w:rPr>
              <w:t xml:space="preserve">u </w:t>
            </w:r>
            <w:r w:rsidR="004D22C2" w:rsidRPr="00702A1E">
              <w:rPr>
                <w:rFonts w:ascii="Times New Roman" w:hAnsi="Times New Roman" w:cs="Times New Roman"/>
                <w:bCs/>
                <w:color w:val="000000"/>
              </w:rPr>
              <w:t>uvođenju privremenog dodatka te većem programu rada (uvedeni su dodatni timovi i to tim T1 u Splitu</w:t>
            </w:r>
            <w:r w:rsidR="00114158" w:rsidRPr="00702A1E">
              <w:rPr>
                <w:rFonts w:ascii="Times New Roman" w:hAnsi="Times New Roman" w:cs="Times New Roman"/>
                <w:bCs/>
                <w:color w:val="000000"/>
              </w:rPr>
              <w:t xml:space="preserve"> i</w:t>
            </w:r>
            <w:r w:rsidR="004D22C2" w:rsidRPr="00702A1E">
              <w:rPr>
                <w:rFonts w:ascii="Times New Roman" w:hAnsi="Times New Roman" w:cs="Times New Roman"/>
                <w:bCs/>
                <w:color w:val="000000"/>
              </w:rPr>
              <w:t xml:space="preserve"> tim T2 u Kaštelima</w:t>
            </w:r>
            <w:r w:rsidR="007C6E27" w:rsidRPr="00702A1E">
              <w:rPr>
                <w:rFonts w:ascii="Times New Roman" w:hAnsi="Times New Roman" w:cs="Times New Roman"/>
                <w:bCs/>
                <w:color w:val="000000"/>
              </w:rPr>
              <w:t>)</w:t>
            </w:r>
            <w:r w:rsidRPr="00702A1E">
              <w:rPr>
                <w:rFonts w:ascii="Times New Roman" w:hAnsi="Times New Roman" w:cs="Times New Roman"/>
                <w:bCs/>
                <w:color w:val="000000"/>
              </w:rPr>
              <w:t xml:space="preserve"> što nije bilo poznato prilikom izrade prošlogodišnjih projekcija.</w:t>
            </w:r>
          </w:p>
        </w:tc>
      </w:tr>
      <w:tr w:rsidR="00FA6BF1" w:rsidRPr="00702A1E" w14:paraId="6003DD48" w14:textId="77777777" w:rsidTr="00FB1800">
        <w:trPr>
          <w:trHeight w:val="651"/>
        </w:trPr>
        <w:tc>
          <w:tcPr>
            <w:tcW w:w="1238" w:type="dxa"/>
            <w:gridSpan w:val="2"/>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4AB4ACDE"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lang w:eastAsia="hr-HR"/>
              </w:rPr>
              <w:lastRenderedPageBreak/>
              <w:t>Pokazatelj rezultata</w:t>
            </w:r>
          </w:p>
        </w:tc>
        <w:tc>
          <w:tcPr>
            <w:tcW w:w="1842"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1058AC66"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Definicija</w:t>
            </w:r>
          </w:p>
        </w:tc>
        <w:tc>
          <w:tcPr>
            <w:tcW w:w="709"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4DA802D"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Jedinica</w:t>
            </w:r>
          </w:p>
        </w:tc>
        <w:tc>
          <w:tcPr>
            <w:tcW w:w="992"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D73FDE3" w14:textId="2CE0E1C8"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Polazna vrijednost 202</w:t>
            </w:r>
            <w:r w:rsidR="00E76181" w:rsidRPr="00702A1E">
              <w:rPr>
                <w:rFonts w:ascii="Times New Roman" w:eastAsia="Times New Roman" w:hAnsi="Times New Roman" w:cs="Times New Roman"/>
                <w:b/>
                <w:lang w:eastAsia="hr-HR"/>
              </w:rPr>
              <w:t>3</w:t>
            </w:r>
            <w:r w:rsidRPr="00702A1E">
              <w:rPr>
                <w:rFonts w:ascii="Times New Roman" w:eastAsia="Times New Roman" w:hAnsi="Times New Roman" w:cs="Times New Roman"/>
                <w:b/>
                <w:lang w:eastAsia="hr-HR"/>
              </w:rPr>
              <w:t>.</w:t>
            </w:r>
          </w:p>
        </w:tc>
        <w:tc>
          <w:tcPr>
            <w:tcW w:w="1134"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5DFC881"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Izvor podataka</w:t>
            </w:r>
          </w:p>
        </w:tc>
        <w:tc>
          <w:tcPr>
            <w:tcW w:w="1276" w:type="dxa"/>
            <w:gridSpan w:val="2"/>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151BCAF1" w14:textId="752BFC74"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4</w:t>
            </w:r>
            <w:r w:rsidRPr="00702A1E">
              <w:rPr>
                <w:rFonts w:ascii="Times New Roman" w:eastAsia="Times New Roman" w:hAnsi="Times New Roman" w:cs="Times New Roman"/>
                <w:b/>
                <w:lang w:eastAsia="hr-HR"/>
              </w:rPr>
              <w:t>.</w:t>
            </w:r>
          </w:p>
        </w:tc>
        <w:tc>
          <w:tcPr>
            <w:tcW w:w="1134"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66453D5D" w14:textId="7430588B"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5</w:t>
            </w:r>
            <w:r w:rsidRPr="00702A1E">
              <w:rPr>
                <w:rFonts w:ascii="Times New Roman" w:eastAsia="Times New Roman" w:hAnsi="Times New Roman" w:cs="Times New Roman"/>
                <w:b/>
                <w:lang w:eastAsia="hr-HR"/>
              </w:rPr>
              <w:t>.</w:t>
            </w:r>
          </w:p>
        </w:tc>
        <w:tc>
          <w:tcPr>
            <w:tcW w:w="1131"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0950135F" w14:textId="0D58720E"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6</w:t>
            </w:r>
            <w:r w:rsidRPr="00702A1E">
              <w:rPr>
                <w:rFonts w:ascii="Times New Roman" w:eastAsia="Times New Roman" w:hAnsi="Times New Roman" w:cs="Times New Roman"/>
                <w:b/>
                <w:lang w:eastAsia="hr-HR"/>
              </w:rPr>
              <w:t>.</w:t>
            </w:r>
          </w:p>
        </w:tc>
      </w:tr>
      <w:tr w:rsidR="007371FF" w:rsidRPr="00702A1E" w14:paraId="071E80F7" w14:textId="77777777" w:rsidTr="00FB1800">
        <w:trPr>
          <w:trHeight w:val="219"/>
        </w:trPr>
        <w:tc>
          <w:tcPr>
            <w:tcW w:w="123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4CEEB9"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Povećanje broja postupaka za vrijeme turističke sezone u odnosu na cijelu godinu</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6EE156"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Povećanjem broja postupaka za vrijeme turističke sezone svim osobama na području Županije omogućava se efikasna usluga hitne medicine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C76793" w14:textId="77777777" w:rsidR="00FA6BF1" w:rsidRPr="00702A1E" w:rsidRDefault="00091387" w:rsidP="006142DC">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DD493E" w14:textId="65CBD4F7" w:rsidR="00FA6BF1" w:rsidRPr="00702A1E" w:rsidRDefault="006142DC" w:rsidP="006142DC">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44,7</w:t>
            </w:r>
          </w:p>
          <w:p w14:paraId="314FBD5F" w14:textId="77777777" w:rsidR="00FA6BF1" w:rsidRPr="00702A1E" w:rsidRDefault="00FA6BF1" w:rsidP="006142DC">
            <w:pPr>
              <w:widowControl/>
              <w:spacing w:after="0" w:line="240" w:lineRule="auto"/>
              <w:jc w:val="center"/>
              <w:textAlignment w:val="baseline"/>
              <w:rPr>
                <w:rFonts w:ascii="Times New Roman" w:eastAsia="Times New Roman" w:hAnsi="Times New Roman" w:cs="Times New Roman"/>
                <w:lang w:eastAsia="hr-HR"/>
              </w:rPr>
            </w:pPr>
          </w:p>
          <w:p w14:paraId="5B20A3ED" w14:textId="77777777" w:rsidR="00FA6BF1" w:rsidRPr="00702A1E" w:rsidRDefault="00FA6BF1" w:rsidP="006142DC">
            <w:pPr>
              <w:widowControl/>
              <w:spacing w:after="0" w:line="240" w:lineRule="auto"/>
              <w:jc w:val="center"/>
              <w:textAlignment w:val="baseline"/>
              <w:rPr>
                <w:rFonts w:ascii="Times New Roman" w:eastAsia="Times New Roman" w:hAnsi="Times New Roman" w:cs="Times New Roman"/>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3DA0B4" w14:textId="38172BE6" w:rsidR="00FA6BF1" w:rsidRPr="00702A1E" w:rsidRDefault="00091387" w:rsidP="006142DC">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Z</w:t>
            </w:r>
            <w:r w:rsidR="00A43490" w:rsidRPr="00702A1E">
              <w:rPr>
                <w:rFonts w:ascii="Times New Roman" w:eastAsia="Times New Roman" w:hAnsi="Times New Roman" w:cs="Times New Roman"/>
                <w:lang w:eastAsia="hr-HR"/>
              </w:rPr>
              <w:t>avod</w:t>
            </w:r>
          </w:p>
          <w:p w14:paraId="6D4AD88E" w14:textId="77777777" w:rsidR="00FA6BF1" w:rsidRPr="00702A1E" w:rsidRDefault="00FA6BF1" w:rsidP="006142DC">
            <w:pPr>
              <w:widowControl/>
              <w:spacing w:after="0" w:line="240" w:lineRule="auto"/>
              <w:jc w:val="center"/>
              <w:textAlignment w:val="baseline"/>
              <w:rPr>
                <w:rFonts w:ascii="Times New Roman" w:eastAsia="Times New Roman" w:hAnsi="Times New Roman" w:cs="Times New Roman"/>
                <w:lang w:eastAsia="hr-HR"/>
              </w:rPr>
            </w:pPr>
          </w:p>
          <w:p w14:paraId="6B629E25" w14:textId="77777777" w:rsidR="00FA6BF1" w:rsidRPr="00702A1E" w:rsidRDefault="00FA6BF1" w:rsidP="006142DC">
            <w:pPr>
              <w:widowControl/>
              <w:spacing w:after="0" w:line="240" w:lineRule="auto"/>
              <w:jc w:val="center"/>
              <w:textAlignment w:val="baseline"/>
              <w:rPr>
                <w:rFonts w:ascii="Times New Roman" w:eastAsia="Times New Roman" w:hAnsi="Times New Roman" w:cs="Times New Roman"/>
                <w:lang w:eastAsia="hr-HR"/>
              </w:rPr>
            </w:pPr>
          </w:p>
          <w:p w14:paraId="4159D446" w14:textId="77777777" w:rsidR="00FA6BF1" w:rsidRPr="00702A1E" w:rsidRDefault="00FA6BF1" w:rsidP="006142DC">
            <w:pPr>
              <w:widowControl/>
              <w:spacing w:after="0" w:line="240" w:lineRule="auto"/>
              <w:jc w:val="center"/>
              <w:textAlignment w:val="baseline"/>
              <w:rPr>
                <w:rFonts w:ascii="Times New Roman" w:eastAsia="Times New Roman" w:hAnsi="Times New Roman" w:cs="Times New Roman"/>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314B63" w14:textId="296E1CD7" w:rsidR="00FA6BF1" w:rsidRPr="00702A1E" w:rsidRDefault="006142DC" w:rsidP="006142DC">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lang w:eastAsia="hr-HR"/>
              </w:rPr>
              <w:t>44,8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25D328" w14:textId="593B00B1" w:rsidR="00FA6BF1" w:rsidRPr="00702A1E" w:rsidRDefault="006142DC" w:rsidP="006142DC">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rPr>
              <w:t>44,9</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1A7444" w14:textId="77777777" w:rsidR="00FA6BF1" w:rsidRPr="00702A1E" w:rsidRDefault="006142DC" w:rsidP="006142DC">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45,0</w:t>
            </w:r>
          </w:p>
          <w:p w14:paraId="2A22763B" w14:textId="3D652C37" w:rsidR="006142DC" w:rsidRPr="00702A1E" w:rsidRDefault="006142DC" w:rsidP="006142DC">
            <w:pPr>
              <w:widowControl/>
              <w:spacing w:after="0" w:line="240" w:lineRule="auto"/>
              <w:jc w:val="center"/>
              <w:textAlignment w:val="baseline"/>
              <w:rPr>
                <w:rFonts w:ascii="Times New Roman" w:hAnsi="Times New Roman" w:cs="Times New Roman"/>
              </w:rPr>
            </w:pPr>
          </w:p>
        </w:tc>
      </w:tr>
    </w:tbl>
    <w:p w14:paraId="4276E13D" w14:textId="77777777" w:rsidR="00FA6BF1" w:rsidRPr="00702A1E" w:rsidRDefault="00FA6BF1">
      <w:pPr>
        <w:pStyle w:val="Standard"/>
        <w:rPr>
          <w:sz w:val="22"/>
          <w:szCs w:val="22"/>
        </w:rPr>
      </w:pPr>
    </w:p>
    <w:tbl>
      <w:tblPr>
        <w:tblW w:w="9402" w:type="dxa"/>
        <w:tblInd w:w="-108" w:type="dxa"/>
        <w:tblLayout w:type="fixed"/>
        <w:tblCellMar>
          <w:left w:w="10" w:type="dxa"/>
          <w:right w:w="10" w:type="dxa"/>
        </w:tblCellMar>
        <w:tblLook w:val="04A0" w:firstRow="1" w:lastRow="0" w:firstColumn="1" w:lastColumn="0" w:noHBand="0" w:noVBand="1"/>
      </w:tblPr>
      <w:tblGrid>
        <w:gridCol w:w="1176"/>
        <w:gridCol w:w="2046"/>
        <w:gridCol w:w="6180"/>
      </w:tblGrid>
      <w:tr w:rsidR="00FA6BF1" w:rsidRPr="00702A1E" w14:paraId="53CD536E" w14:textId="77777777" w:rsidTr="00FB1800">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5ABC171"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Aktivnost/ Projekt:</w:t>
            </w:r>
          </w:p>
        </w:tc>
        <w:tc>
          <w:tcPr>
            <w:tcW w:w="20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60F27A" w14:textId="47FEC68F" w:rsidR="00FA6BF1" w:rsidRPr="00702A1E" w:rsidRDefault="00091387" w:rsidP="00FB1800">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A003020A302008</w:t>
            </w:r>
          </w:p>
        </w:tc>
        <w:tc>
          <w:tcPr>
            <w:tcW w:w="61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42D40A" w14:textId="77777777" w:rsidR="00FA6BF1" w:rsidRPr="00702A1E" w:rsidRDefault="00091387">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Dodatni timovi HMP prilikom zaštite od požara</w:t>
            </w:r>
          </w:p>
        </w:tc>
      </w:tr>
      <w:tr w:rsidR="00FA6BF1" w:rsidRPr="00702A1E" w14:paraId="66FF9BCA" w14:textId="77777777">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7068DF6"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Zakonska i druga pravna osnova: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80D888" w14:textId="77777777" w:rsidR="00FA6BF1" w:rsidRPr="00702A1E" w:rsidRDefault="00091387">
            <w:pPr>
              <w:widowControl/>
              <w:spacing w:after="0" w:line="240" w:lineRule="auto"/>
              <w:jc w:val="both"/>
              <w:rPr>
                <w:rFonts w:ascii="Times New Roman" w:hAnsi="Times New Roman" w:cs="Times New Roman"/>
              </w:rPr>
            </w:pPr>
            <w:r w:rsidRPr="00702A1E">
              <w:rPr>
                <w:rFonts w:ascii="Times New Roman" w:eastAsia="Times New Roman" w:hAnsi="Times New Roman" w:cs="Times New Roman"/>
                <w:kern w:val="0"/>
                <w:lang w:eastAsia="ar-SA"/>
              </w:rPr>
              <w:t>Program aktivnosti u provedbi posebnih mjera zaštite od požara od interesa za Republiku Hrvatsku</w:t>
            </w:r>
          </w:p>
        </w:tc>
      </w:tr>
      <w:tr w:rsidR="00FA6BF1" w:rsidRPr="00702A1E" w14:paraId="20EA91D7"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7089209"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Opis aktivnosti / projekta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D75490" w14:textId="77777777" w:rsidR="00FA6BF1" w:rsidRPr="00702A1E" w:rsidRDefault="00FA6BF1" w:rsidP="00C97AA2">
            <w:pPr>
              <w:widowControl/>
              <w:snapToGrid w:val="0"/>
              <w:spacing w:after="0" w:line="240" w:lineRule="auto"/>
              <w:rPr>
                <w:rFonts w:ascii="Times New Roman" w:eastAsia="Times New Roman" w:hAnsi="Times New Roman" w:cs="Times New Roman"/>
                <w:kern w:val="0"/>
                <w:lang w:eastAsia="ar-SA"/>
              </w:rPr>
            </w:pPr>
          </w:p>
          <w:p w14:paraId="45D3E45D" w14:textId="77777777" w:rsidR="00FA6BF1" w:rsidRPr="00702A1E" w:rsidRDefault="00091387" w:rsidP="00C97AA2">
            <w:pPr>
              <w:widowControl/>
              <w:snapToGrid w:val="0"/>
              <w:spacing w:after="0" w:line="240" w:lineRule="auto"/>
              <w:rPr>
                <w:rFonts w:ascii="Times New Roman" w:eastAsia="Times New Roman" w:hAnsi="Times New Roman" w:cs="Times New Roman"/>
                <w:kern w:val="0"/>
                <w:lang w:eastAsia="ar-SA"/>
              </w:rPr>
            </w:pPr>
            <w:r w:rsidRPr="00702A1E">
              <w:rPr>
                <w:rFonts w:ascii="Times New Roman" w:eastAsia="Times New Roman" w:hAnsi="Times New Roman" w:cs="Times New Roman"/>
                <w:kern w:val="0"/>
                <w:lang w:eastAsia="ar-SA"/>
              </w:rPr>
              <w:t>Sukladno Programu aktivnosti u provedbi posebnih mjera zaštite od požara od interesa za Republiku Hrvatsku kojeg je donijela Vlada RH, u slučaju požara mobiliziraju se dodatni timovi koji će biti angažirani na požarištu.</w:t>
            </w:r>
          </w:p>
          <w:p w14:paraId="6CECABA2" w14:textId="77777777" w:rsidR="00FA6BF1" w:rsidRPr="00702A1E" w:rsidRDefault="00FA6BF1" w:rsidP="00C97AA2">
            <w:pPr>
              <w:widowControl/>
              <w:snapToGrid w:val="0"/>
              <w:spacing w:after="0" w:line="240" w:lineRule="auto"/>
              <w:rPr>
                <w:rFonts w:ascii="Times New Roman" w:eastAsia="Times New Roman" w:hAnsi="Times New Roman" w:cs="Times New Roman"/>
                <w:kern w:val="0"/>
                <w:lang w:eastAsia="ar-SA"/>
              </w:rPr>
            </w:pPr>
          </w:p>
          <w:p w14:paraId="4E815C9D" w14:textId="6498B10E" w:rsidR="00FA6BF1" w:rsidRPr="00702A1E" w:rsidRDefault="00091387" w:rsidP="00C97AA2">
            <w:pPr>
              <w:widowControl/>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Ova aktivnost, koja obuhvaća 0,1% ukupnog plana u 202</w:t>
            </w:r>
            <w:r w:rsidR="00946903"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 xml:space="preserve">.g., odnosi se na rashode za zaposlene i materijalne rashode koji se financiraju iz matičnih sredstava SDŽ u iznosu od </w:t>
            </w:r>
            <w:r w:rsidR="00946903" w:rsidRPr="00702A1E">
              <w:rPr>
                <w:rFonts w:ascii="Times New Roman" w:eastAsia="Times New Roman" w:hAnsi="Times New Roman" w:cs="Times New Roman"/>
                <w:bCs/>
                <w:kern w:val="0"/>
                <w:lang w:eastAsia="ar-SA"/>
              </w:rPr>
              <w:t>14</w:t>
            </w:r>
            <w:r w:rsidRPr="00702A1E">
              <w:rPr>
                <w:rFonts w:ascii="Times New Roman" w:eastAsia="Times New Roman" w:hAnsi="Times New Roman" w:cs="Times New Roman"/>
                <w:bCs/>
                <w:kern w:val="0"/>
                <w:lang w:eastAsia="ar-SA"/>
              </w:rPr>
              <w:t>.</w:t>
            </w:r>
            <w:r w:rsidR="00946903" w:rsidRPr="00702A1E">
              <w:rPr>
                <w:rFonts w:ascii="Times New Roman" w:eastAsia="Times New Roman" w:hAnsi="Times New Roman" w:cs="Times New Roman"/>
                <w:bCs/>
                <w:kern w:val="0"/>
                <w:lang w:eastAsia="ar-SA"/>
              </w:rPr>
              <w:t>000,00</w:t>
            </w:r>
            <w:r w:rsidRPr="00702A1E">
              <w:rPr>
                <w:rFonts w:ascii="Times New Roman" w:eastAsia="Times New Roman" w:hAnsi="Times New Roman" w:cs="Times New Roman"/>
                <w:bCs/>
                <w:kern w:val="0"/>
                <w:lang w:eastAsia="ar-SA"/>
              </w:rPr>
              <w:t xml:space="preserve"> € u </w:t>
            </w:r>
            <w:r w:rsidR="00946903" w:rsidRPr="00702A1E">
              <w:rPr>
                <w:rFonts w:ascii="Times New Roman" w:eastAsia="Times New Roman" w:hAnsi="Times New Roman" w:cs="Times New Roman"/>
                <w:bCs/>
                <w:kern w:val="0"/>
                <w:lang w:eastAsia="ar-SA"/>
              </w:rPr>
              <w:t>2024.g., u iznosu od 14.100,00 € u 2025.g. i u iznosu od 14.200,00 € u 2026.g</w:t>
            </w:r>
            <w:r w:rsidRPr="00702A1E">
              <w:rPr>
                <w:rFonts w:ascii="Times New Roman" w:eastAsia="Times New Roman" w:hAnsi="Times New Roman" w:cs="Times New Roman"/>
                <w:bCs/>
                <w:kern w:val="0"/>
                <w:lang w:eastAsia="ar-SA"/>
              </w:rPr>
              <w:t>.</w:t>
            </w:r>
          </w:p>
          <w:p w14:paraId="0AB01A38" w14:textId="77777777" w:rsidR="00FA6BF1" w:rsidRPr="00702A1E" w:rsidRDefault="00FA6BF1" w:rsidP="00C97AA2">
            <w:pPr>
              <w:widowControl/>
              <w:spacing w:after="0" w:line="240" w:lineRule="auto"/>
              <w:jc w:val="both"/>
              <w:rPr>
                <w:rFonts w:ascii="Times New Roman" w:hAnsi="Times New Roman" w:cs="Times New Roman"/>
              </w:rPr>
            </w:pPr>
          </w:p>
        </w:tc>
      </w:tr>
      <w:tr w:rsidR="00FA6BF1" w:rsidRPr="00702A1E" w14:paraId="07698267"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1E9A11F"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Obrazloženje izračuna financijskih sredstava: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D70F0E" w14:textId="130E0BA9" w:rsidR="00FA6BF1" w:rsidRPr="00702A1E" w:rsidRDefault="00091387" w:rsidP="00C97AA2">
            <w:pPr>
              <w:spacing w:line="240" w:lineRule="auto"/>
              <w:jc w:val="both"/>
              <w:textAlignment w:val="baseline"/>
              <w:rPr>
                <w:rFonts w:ascii="Times New Roman" w:hAnsi="Times New Roman" w:cs="Times New Roman"/>
              </w:rPr>
            </w:pPr>
            <w:r w:rsidRPr="00702A1E">
              <w:rPr>
                <w:rFonts w:ascii="Times New Roman" w:eastAsia="Times New Roman" w:hAnsi="Times New Roman" w:cs="Times New Roman"/>
                <w:kern w:val="0"/>
                <w:lang w:eastAsia="ar-SA"/>
              </w:rPr>
              <w:t>U sklopu ove aktivnosti obuhvaćeni su rashodi za zaposlene (</w:t>
            </w:r>
            <w:r w:rsidR="00946903" w:rsidRPr="00702A1E">
              <w:rPr>
                <w:rFonts w:ascii="Times New Roman" w:eastAsia="Times New Roman" w:hAnsi="Times New Roman" w:cs="Times New Roman"/>
                <w:kern w:val="0"/>
                <w:lang w:eastAsia="ar-SA"/>
              </w:rPr>
              <w:t>13.500,00</w:t>
            </w:r>
            <w:r w:rsidRPr="00702A1E">
              <w:rPr>
                <w:rFonts w:ascii="Times New Roman" w:eastAsia="Times New Roman" w:hAnsi="Times New Roman" w:cs="Times New Roman"/>
                <w:kern w:val="0"/>
                <w:lang w:eastAsia="ar-SA"/>
              </w:rPr>
              <w:t xml:space="preserve"> </w:t>
            </w:r>
            <w:r w:rsidRPr="00702A1E">
              <w:rPr>
                <w:rFonts w:ascii="Times New Roman" w:eastAsia="Times New Roman" w:hAnsi="Times New Roman" w:cs="Times New Roman"/>
                <w:color w:val="000000"/>
                <w:lang w:eastAsia="hr-HR"/>
              </w:rPr>
              <w:t>€</w:t>
            </w:r>
            <w:r w:rsidRPr="00702A1E">
              <w:rPr>
                <w:rFonts w:ascii="Times New Roman" w:eastAsia="Times New Roman" w:hAnsi="Times New Roman" w:cs="Times New Roman"/>
                <w:b/>
                <w:bCs/>
                <w:color w:val="000000"/>
                <w:lang w:eastAsia="hr-HR"/>
              </w:rPr>
              <w:t>)</w:t>
            </w:r>
            <w:r w:rsidRPr="00702A1E">
              <w:rPr>
                <w:rFonts w:ascii="Times New Roman" w:eastAsia="Times New Roman" w:hAnsi="Times New Roman" w:cs="Times New Roman"/>
                <w:kern w:val="0"/>
                <w:lang w:eastAsia="ar-SA"/>
              </w:rPr>
              <w:t xml:space="preserve"> i materijalni rashodi (</w:t>
            </w:r>
            <w:r w:rsidR="00946903" w:rsidRPr="00702A1E">
              <w:rPr>
                <w:rFonts w:ascii="Times New Roman" w:eastAsia="Times New Roman" w:hAnsi="Times New Roman" w:cs="Times New Roman"/>
                <w:kern w:val="0"/>
                <w:lang w:eastAsia="ar-SA"/>
              </w:rPr>
              <w:t>500,00</w:t>
            </w:r>
            <w:r w:rsidRPr="00702A1E">
              <w:rPr>
                <w:rFonts w:ascii="Times New Roman" w:eastAsia="Times New Roman" w:hAnsi="Times New Roman" w:cs="Times New Roman"/>
                <w:kern w:val="0"/>
                <w:lang w:eastAsia="ar-SA"/>
              </w:rPr>
              <w:t xml:space="preserve"> </w:t>
            </w:r>
            <w:r w:rsidRPr="00702A1E">
              <w:rPr>
                <w:rFonts w:ascii="Times New Roman" w:eastAsia="Times New Roman" w:hAnsi="Times New Roman" w:cs="Times New Roman"/>
                <w:color w:val="000000"/>
                <w:lang w:eastAsia="hr-HR"/>
              </w:rPr>
              <w:t>€</w:t>
            </w:r>
            <w:r w:rsidRPr="00702A1E">
              <w:rPr>
                <w:rFonts w:ascii="Times New Roman" w:eastAsia="Times New Roman" w:hAnsi="Times New Roman" w:cs="Times New Roman"/>
                <w:b/>
                <w:bCs/>
                <w:color w:val="000000"/>
                <w:lang w:eastAsia="hr-HR"/>
              </w:rPr>
              <w:t xml:space="preserve">) </w:t>
            </w:r>
            <w:r w:rsidRPr="00702A1E">
              <w:rPr>
                <w:rFonts w:ascii="Times New Roman" w:eastAsia="Times New Roman" w:hAnsi="Times New Roman" w:cs="Times New Roman"/>
                <w:kern w:val="0"/>
                <w:lang w:eastAsia="ar-SA"/>
              </w:rPr>
              <w:t xml:space="preserve">koji se financiraju iz matičnih sredstava SDŽ u iznosu od </w:t>
            </w:r>
            <w:r w:rsidR="00946903" w:rsidRPr="00702A1E">
              <w:rPr>
                <w:rFonts w:ascii="Times New Roman" w:eastAsia="Times New Roman" w:hAnsi="Times New Roman" w:cs="Times New Roman"/>
                <w:kern w:val="0"/>
                <w:lang w:eastAsia="ar-SA"/>
              </w:rPr>
              <w:t>14.000,00</w:t>
            </w:r>
            <w:r w:rsidRPr="00702A1E">
              <w:rPr>
                <w:rFonts w:ascii="Times New Roman" w:eastAsia="Times New Roman" w:hAnsi="Times New Roman" w:cs="Times New Roman"/>
                <w:kern w:val="0"/>
                <w:lang w:eastAsia="ar-SA"/>
              </w:rPr>
              <w:t xml:space="preserve"> € u </w:t>
            </w:r>
            <w:r w:rsidR="001B65FA" w:rsidRPr="00702A1E">
              <w:rPr>
                <w:rFonts w:ascii="Times New Roman" w:eastAsia="Times New Roman" w:hAnsi="Times New Roman" w:cs="Times New Roman"/>
                <w:kern w:val="0"/>
                <w:lang w:eastAsia="ar-SA"/>
              </w:rPr>
              <w:t>2024.g. U svakoj idućoj godini planira se povećanje samo rashoda za zaposlene zbog minulog staža.</w:t>
            </w:r>
          </w:p>
        </w:tc>
      </w:tr>
      <w:tr w:rsidR="00FA6BF1" w:rsidRPr="00702A1E" w14:paraId="39812A13" w14:textId="77777777">
        <w:trPr>
          <w:trHeight w:val="257"/>
        </w:trPr>
        <w:tc>
          <w:tcPr>
            <w:tcW w:w="940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209" w:type="dxa"/>
              <w:tblLayout w:type="fixed"/>
              <w:tblCellMar>
                <w:left w:w="10" w:type="dxa"/>
                <w:right w:w="10" w:type="dxa"/>
              </w:tblCellMar>
              <w:tblLook w:val="04A0" w:firstRow="1" w:lastRow="0" w:firstColumn="1" w:lastColumn="0" w:noHBand="0" w:noVBand="1"/>
            </w:tblPr>
            <w:tblGrid>
              <w:gridCol w:w="1580"/>
              <w:gridCol w:w="1378"/>
              <w:gridCol w:w="1492"/>
              <w:gridCol w:w="1492"/>
              <w:gridCol w:w="1566"/>
              <w:gridCol w:w="1701"/>
            </w:tblGrid>
            <w:tr w:rsidR="00820E7E" w:rsidRPr="00702A1E" w14:paraId="596F3325"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5BC559F" w14:textId="209843CA"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Izvršeno 2022.</w:t>
                  </w:r>
                </w:p>
              </w:tc>
              <w:tc>
                <w:tcPr>
                  <w:tcW w:w="137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52DBB68" w14:textId="4DE33204" w:rsidR="00820E7E" w:rsidRPr="00702A1E" w:rsidRDefault="00820E7E" w:rsidP="00820E7E">
                  <w:pPr>
                    <w:widowControl/>
                    <w:spacing w:after="0" w:line="240" w:lineRule="auto"/>
                    <w:jc w:val="center"/>
                    <w:textAlignment w:val="baseline"/>
                    <w:rPr>
                      <w:rFonts w:ascii="Times New Roman" w:hAnsi="Times New Roman" w:cs="Times New Roman"/>
                    </w:rPr>
                  </w:pPr>
                  <w:r w:rsidRPr="00820E7E">
                    <w:rPr>
                      <w:rFonts w:ascii="Times New Roman" w:hAnsi="Times New Roman" w:cs="Times New Roman"/>
                      <w:b/>
                      <w:bCs/>
                      <w:color w:val="000000"/>
                    </w:rPr>
                    <w:t>Financijski plan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67B6E5B" w14:textId="21785F7A" w:rsidR="00820E7E" w:rsidRPr="00702A1E" w:rsidRDefault="00820E7E" w:rsidP="00820E7E">
                  <w:pPr>
                    <w:widowControl/>
                    <w:spacing w:after="0" w:line="240" w:lineRule="auto"/>
                    <w:jc w:val="center"/>
                    <w:textAlignment w:val="baseline"/>
                    <w:rPr>
                      <w:rFonts w:ascii="Times New Roman" w:hAnsi="Times New Roman" w:cs="Times New Roman"/>
                    </w:rPr>
                  </w:pPr>
                  <w:r w:rsidRPr="00820E7E">
                    <w:rPr>
                      <w:rFonts w:ascii="Times New Roman" w:hAnsi="Times New Roman" w:cs="Times New Roman"/>
                      <w:b/>
                      <w:bCs/>
                      <w:color w:val="000000"/>
                    </w:rPr>
                    <w:t>II. Rebalans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8457046" w14:textId="5B7F141A"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Plan 2024.</w:t>
                  </w:r>
                </w:p>
              </w:tc>
              <w:tc>
                <w:tcPr>
                  <w:tcW w:w="15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AF117C0" w14:textId="35331378"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Projekcija 2025.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E29174A" w14:textId="037EBD43" w:rsidR="00820E7E" w:rsidRPr="00702A1E" w:rsidRDefault="00820E7E" w:rsidP="00820E7E">
                  <w:pPr>
                    <w:widowControl/>
                    <w:spacing w:after="0" w:line="240" w:lineRule="auto"/>
                    <w:jc w:val="center"/>
                    <w:textAlignment w:val="baseline"/>
                    <w:rPr>
                      <w:rFonts w:ascii="Times New Roman" w:hAnsi="Times New Roman" w:cs="Times New Roman"/>
                    </w:rPr>
                  </w:pPr>
                  <w:r w:rsidRPr="00702A1E">
                    <w:rPr>
                      <w:rFonts w:ascii="Times New Roman" w:hAnsi="Times New Roman" w:cs="Times New Roman"/>
                      <w:b/>
                      <w:bCs/>
                      <w:color w:val="000000"/>
                    </w:rPr>
                    <w:t>Projekcija 2026.</w:t>
                  </w:r>
                </w:p>
              </w:tc>
            </w:tr>
            <w:tr w:rsidR="00820E7E" w:rsidRPr="00702A1E" w14:paraId="59D9EBCD"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09F44D" w14:textId="76B7DC38"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0,00 €</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EDE9FE" w14:textId="1A684224"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13.272,28 €</w:t>
                  </w:r>
                </w:p>
              </w:tc>
              <w:tc>
                <w:tcPr>
                  <w:tcW w:w="14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367BB4" w14:textId="74F4910E"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13.272,28 €</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349EB5" w14:textId="52E045A3"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14.000,00 €</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B931F7" w14:textId="3F931A7E"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14.100,00 €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BE8AA6" w14:textId="36E3BAF6"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14.200,00 €</w:t>
                  </w:r>
                </w:p>
              </w:tc>
            </w:tr>
          </w:tbl>
          <w:p w14:paraId="18380E16" w14:textId="77777777" w:rsidR="00FA6BF1" w:rsidRPr="00702A1E" w:rsidRDefault="00FA6BF1">
            <w:pPr>
              <w:widowControl/>
              <w:spacing w:after="0" w:line="240" w:lineRule="auto"/>
              <w:textAlignment w:val="baseline"/>
              <w:rPr>
                <w:rFonts w:ascii="Times New Roman" w:eastAsia="Times New Roman" w:hAnsi="Times New Roman" w:cs="Times New Roman"/>
                <w:bCs/>
                <w:color w:val="000000"/>
                <w:lang w:eastAsia="hr-HR"/>
              </w:rPr>
            </w:pPr>
          </w:p>
        </w:tc>
      </w:tr>
      <w:tr w:rsidR="00FA6BF1" w:rsidRPr="00702A1E" w14:paraId="29820B71"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B37EAB4" w14:textId="498BD508"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color w:val="000000"/>
                <w:lang w:eastAsia="hr-HR"/>
              </w:rPr>
              <w:t>Obrazloženja odstupanja od projekcij</w:t>
            </w:r>
            <w:r w:rsidRPr="00702A1E">
              <w:rPr>
                <w:rFonts w:ascii="Times New Roman" w:eastAsia="Times New Roman" w:hAnsi="Times New Roman" w:cs="Times New Roman"/>
                <w:b/>
                <w:color w:val="000000"/>
                <w:lang w:eastAsia="hr-HR"/>
              </w:rPr>
              <w:lastRenderedPageBreak/>
              <w:t>a za 202</w:t>
            </w:r>
            <w:r w:rsidR="004D22C2" w:rsidRPr="00702A1E">
              <w:rPr>
                <w:rFonts w:ascii="Times New Roman" w:eastAsia="Times New Roman" w:hAnsi="Times New Roman" w:cs="Times New Roman"/>
                <w:b/>
                <w:color w:val="000000"/>
                <w:lang w:eastAsia="hr-HR"/>
              </w:rPr>
              <w:t>4</w:t>
            </w:r>
            <w:r w:rsidRPr="00702A1E">
              <w:rPr>
                <w:rFonts w:ascii="Times New Roman" w:eastAsia="Times New Roman" w:hAnsi="Times New Roman" w:cs="Times New Roman"/>
                <w:b/>
                <w:color w:val="000000"/>
                <w:lang w:eastAsia="hr-HR"/>
              </w:rPr>
              <w:t>. i 202</w:t>
            </w:r>
            <w:r w:rsidR="004D22C2" w:rsidRPr="00702A1E">
              <w:rPr>
                <w:rFonts w:ascii="Times New Roman" w:eastAsia="Times New Roman" w:hAnsi="Times New Roman" w:cs="Times New Roman"/>
                <w:b/>
                <w:color w:val="000000"/>
                <w:lang w:eastAsia="hr-HR"/>
              </w:rPr>
              <w:t>5</w:t>
            </w:r>
            <w:r w:rsidRPr="00702A1E">
              <w:rPr>
                <w:rFonts w:ascii="Times New Roman" w:eastAsia="Times New Roman" w:hAnsi="Times New Roman" w:cs="Times New Roman"/>
                <w:b/>
                <w:color w:val="000000"/>
                <w:lang w:eastAsia="hr-HR"/>
              </w:rPr>
              <w:t>. usvojenih u prošlogodišnjem Proračunu</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33C007" w14:textId="77777777" w:rsidR="00FA6BF1" w:rsidRPr="00702A1E" w:rsidRDefault="00FA6BF1" w:rsidP="00C97AA2">
            <w:pPr>
              <w:widowControl/>
              <w:spacing w:after="0" w:line="240" w:lineRule="auto"/>
              <w:textAlignment w:val="baseline"/>
              <w:rPr>
                <w:rFonts w:ascii="Times New Roman" w:eastAsia="Times New Roman" w:hAnsi="Times New Roman" w:cs="Times New Roman"/>
                <w:i/>
                <w:color w:val="FF0000"/>
                <w:lang w:eastAsia="hr-HR"/>
              </w:rPr>
            </w:pPr>
          </w:p>
          <w:p w14:paraId="2B5A8EB5" w14:textId="2F9CE294" w:rsidR="00FA6BF1" w:rsidRPr="00702A1E" w:rsidRDefault="001B65FA" w:rsidP="00C97AA2">
            <w:pPr>
              <w:widowControl/>
              <w:snapToGrid w:val="0"/>
              <w:spacing w:after="0" w:line="240" w:lineRule="auto"/>
              <w:jc w:val="both"/>
              <w:rPr>
                <w:rFonts w:ascii="Times New Roman" w:eastAsia="Times New Roman" w:hAnsi="Times New Roman" w:cs="Times New Roman"/>
                <w:bCs/>
                <w:kern w:val="0"/>
                <w:lang w:eastAsia="ar-SA"/>
              </w:rPr>
            </w:pPr>
            <w:r w:rsidRPr="00702A1E">
              <w:rPr>
                <w:rFonts w:ascii="Times New Roman" w:hAnsi="Times New Roman" w:cs="Times New Roman"/>
                <w:bCs/>
                <w:color w:val="000000"/>
              </w:rPr>
              <w:t>U odnosu na prošlogodišnje projekcije ova aktivnost je povećana za 5,5 % u 2024.g. i za 6,2 % u 2025.g. Razlog navedenog povećanja je u porastu osnovice i koeficijenata za obračun plaće te u uvođenju privremenog dodatka što nije bilo poznato prilikom izrade prošlogodišnjih projekcija.</w:t>
            </w:r>
          </w:p>
          <w:p w14:paraId="4C217824" w14:textId="77777777" w:rsidR="00FA6BF1" w:rsidRPr="00702A1E" w:rsidRDefault="00FA6BF1" w:rsidP="00C97AA2">
            <w:pPr>
              <w:widowControl/>
              <w:snapToGrid w:val="0"/>
              <w:spacing w:after="0" w:line="240" w:lineRule="auto"/>
              <w:jc w:val="both"/>
              <w:rPr>
                <w:rFonts w:ascii="Times New Roman" w:eastAsia="Times New Roman" w:hAnsi="Times New Roman" w:cs="Times New Roman"/>
                <w:bCs/>
                <w:kern w:val="0"/>
                <w:lang w:eastAsia="ar-SA"/>
              </w:rPr>
            </w:pPr>
          </w:p>
          <w:p w14:paraId="3B0AD45F" w14:textId="77777777" w:rsidR="00FA6BF1" w:rsidRPr="00702A1E" w:rsidRDefault="00FA6BF1" w:rsidP="00C97AA2">
            <w:pPr>
              <w:widowControl/>
              <w:spacing w:after="0" w:line="240" w:lineRule="auto"/>
              <w:textAlignment w:val="baseline"/>
              <w:rPr>
                <w:rFonts w:ascii="Times New Roman" w:eastAsia="Times New Roman" w:hAnsi="Times New Roman" w:cs="Times New Roman"/>
                <w:bCs/>
                <w:color w:val="000000"/>
                <w:lang w:eastAsia="hr-HR"/>
              </w:rPr>
            </w:pPr>
          </w:p>
        </w:tc>
      </w:tr>
    </w:tbl>
    <w:p w14:paraId="7CFDBA19" w14:textId="77777777" w:rsidR="00FA6BF1" w:rsidRPr="00702A1E" w:rsidRDefault="00FA6BF1">
      <w:pPr>
        <w:pStyle w:val="Standard"/>
        <w:rPr>
          <w:sz w:val="22"/>
          <w:szCs w:val="22"/>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050"/>
        <w:gridCol w:w="928"/>
        <w:gridCol w:w="1276"/>
        <w:gridCol w:w="1133"/>
        <w:gridCol w:w="1230"/>
        <w:gridCol w:w="1269"/>
        <w:gridCol w:w="1270"/>
      </w:tblGrid>
      <w:tr w:rsidR="00FA6BF1" w:rsidRPr="00702A1E" w14:paraId="7AA8B172" w14:textId="77777777" w:rsidTr="007371FF">
        <w:trPr>
          <w:trHeight w:val="651"/>
        </w:trPr>
        <w:tc>
          <w:tcPr>
            <w:tcW w:w="1245"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CD95F4C"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lang w:eastAsia="hr-HR"/>
              </w:rPr>
              <w:t>Pokazatelj rezultata</w:t>
            </w:r>
          </w:p>
        </w:tc>
        <w:tc>
          <w:tcPr>
            <w:tcW w:w="1050"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A29B729"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Definicija</w:t>
            </w:r>
          </w:p>
        </w:tc>
        <w:tc>
          <w:tcPr>
            <w:tcW w:w="928"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1D645D7D"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Jedinica</w:t>
            </w:r>
          </w:p>
        </w:tc>
        <w:tc>
          <w:tcPr>
            <w:tcW w:w="1276"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E6343BA" w14:textId="74551BC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Polazna vrijednost 202</w:t>
            </w:r>
            <w:r w:rsidR="00E76181" w:rsidRPr="00702A1E">
              <w:rPr>
                <w:rFonts w:ascii="Times New Roman" w:eastAsia="Times New Roman" w:hAnsi="Times New Roman" w:cs="Times New Roman"/>
                <w:b/>
                <w:lang w:eastAsia="hr-HR"/>
              </w:rPr>
              <w:t>3</w:t>
            </w:r>
            <w:r w:rsidRPr="00702A1E">
              <w:rPr>
                <w:rFonts w:ascii="Times New Roman" w:eastAsia="Times New Roman" w:hAnsi="Times New Roman" w:cs="Times New Roman"/>
                <w:b/>
                <w:lang w:eastAsia="hr-HR"/>
              </w:rPr>
              <w:t>.</w:t>
            </w:r>
          </w:p>
        </w:tc>
        <w:tc>
          <w:tcPr>
            <w:tcW w:w="1133"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129FCB4"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Izvor podataka</w:t>
            </w:r>
          </w:p>
        </w:tc>
        <w:tc>
          <w:tcPr>
            <w:tcW w:w="1230"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2D05FD5" w14:textId="2431272E"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4</w:t>
            </w:r>
            <w:r w:rsidRPr="00702A1E">
              <w:rPr>
                <w:rFonts w:ascii="Times New Roman" w:eastAsia="Times New Roman" w:hAnsi="Times New Roman" w:cs="Times New Roman"/>
                <w:b/>
                <w:lang w:eastAsia="hr-HR"/>
              </w:rPr>
              <w:t>.</w:t>
            </w:r>
          </w:p>
        </w:tc>
        <w:tc>
          <w:tcPr>
            <w:tcW w:w="1269"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7EF92B11" w14:textId="2B329910"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5</w:t>
            </w:r>
            <w:r w:rsidRPr="00702A1E">
              <w:rPr>
                <w:rFonts w:ascii="Times New Roman" w:eastAsia="Times New Roman" w:hAnsi="Times New Roman" w:cs="Times New Roman"/>
                <w:b/>
                <w:lang w:eastAsia="hr-HR"/>
              </w:rPr>
              <w:t>.</w:t>
            </w:r>
          </w:p>
        </w:tc>
        <w:tc>
          <w:tcPr>
            <w:tcW w:w="1270"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7F63053" w14:textId="1B82ECD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6</w:t>
            </w:r>
            <w:r w:rsidRPr="00702A1E">
              <w:rPr>
                <w:rFonts w:ascii="Times New Roman" w:eastAsia="Times New Roman" w:hAnsi="Times New Roman" w:cs="Times New Roman"/>
                <w:b/>
                <w:lang w:eastAsia="hr-HR"/>
              </w:rPr>
              <w:t>.</w:t>
            </w:r>
          </w:p>
        </w:tc>
      </w:tr>
      <w:tr w:rsidR="00FA6BF1" w:rsidRPr="00702A1E" w14:paraId="41C23144" w14:textId="77777777" w:rsidTr="007371FF">
        <w:trPr>
          <w:trHeight w:val="219"/>
        </w:trPr>
        <w:tc>
          <w:tcPr>
            <w:tcW w:w="12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AC65B0"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 xml:space="preserve">Pokrivenost požarišta dodatnim timovima hitne medicine na zahtjev zapovjednika požarišta </w:t>
            </w: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C5F3C4" w14:textId="7E18033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 xml:space="preserve">Prisustvom  timova </w:t>
            </w:r>
            <w:r w:rsidR="0074131A" w:rsidRPr="00702A1E">
              <w:rPr>
                <w:rFonts w:ascii="Times New Roman" w:eastAsia="Times New Roman" w:hAnsi="Times New Roman" w:cs="Times New Roman"/>
                <w:lang w:eastAsia="hr-HR"/>
              </w:rPr>
              <w:t>hitne medicine</w:t>
            </w:r>
            <w:r w:rsidRPr="00702A1E">
              <w:rPr>
                <w:rFonts w:ascii="Times New Roman" w:eastAsia="Times New Roman" w:hAnsi="Times New Roman" w:cs="Times New Roman"/>
                <w:lang w:eastAsia="hr-HR"/>
              </w:rPr>
              <w:t xml:space="preserve"> za vrijeme požara omogućava se brže pružanje hitne medicine pomoći i zbrinjavanje ugroženih osoba</w:t>
            </w:r>
          </w:p>
        </w:tc>
        <w:tc>
          <w:tcPr>
            <w:tcW w:w="9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259672"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097100"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0</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40E1D1" w14:textId="57813CEC"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Z</w:t>
            </w:r>
            <w:r w:rsidR="00A43490" w:rsidRPr="00702A1E">
              <w:rPr>
                <w:rFonts w:ascii="Times New Roman" w:eastAsia="Times New Roman" w:hAnsi="Times New Roman" w:cs="Times New Roman"/>
                <w:lang w:eastAsia="hr-HR"/>
              </w:rPr>
              <w:t>avod</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240070"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100</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31D015"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100</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08982A"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100</w:t>
            </w:r>
          </w:p>
        </w:tc>
      </w:tr>
    </w:tbl>
    <w:p w14:paraId="69EA2BED" w14:textId="77777777" w:rsidR="00FA6BF1" w:rsidRPr="00702A1E" w:rsidRDefault="00FA6BF1">
      <w:pPr>
        <w:pStyle w:val="Standard"/>
        <w:rPr>
          <w:sz w:val="22"/>
          <w:szCs w:val="22"/>
        </w:rPr>
      </w:pPr>
    </w:p>
    <w:tbl>
      <w:tblPr>
        <w:tblW w:w="9402" w:type="dxa"/>
        <w:tblInd w:w="-108" w:type="dxa"/>
        <w:tblLayout w:type="fixed"/>
        <w:tblCellMar>
          <w:left w:w="10" w:type="dxa"/>
          <w:right w:w="10" w:type="dxa"/>
        </w:tblCellMar>
        <w:tblLook w:val="04A0" w:firstRow="1" w:lastRow="0" w:firstColumn="1" w:lastColumn="0" w:noHBand="0" w:noVBand="1"/>
      </w:tblPr>
      <w:tblGrid>
        <w:gridCol w:w="1176"/>
        <w:gridCol w:w="1904"/>
        <w:gridCol w:w="6322"/>
      </w:tblGrid>
      <w:tr w:rsidR="00FA6BF1" w:rsidRPr="00702A1E" w14:paraId="05685C21" w14:textId="77777777" w:rsidTr="00FB1800">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A41AAF"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Aktivnost/ Projekt:</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958BE8" w14:textId="499ABB79" w:rsidR="00FA6BF1" w:rsidRPr="00702A1E" w:rsidRDefault="00091387" w:rsidP="00FB1800">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A003020K302001</w:t>
            </w:r>
          </w:p>
        </w:tc>
        <w:tc>
          <w:tcPr>
            <w:tcW w:w="6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250CCA" w14:textId="77777777" w:rsidR="00FA6BF1" w:rsidRPr="00702A1E" w:rsidRDefault="00091387">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Defibrilatori na javnim mjestima</w:t>
            </w:r>
          </w:p>
        </w:tc>
      </w:tr>
      <w:tr w:rsidR="00FA6BF1" w:rsidRPr="00702A1E" w14:paraId="767A35B9" w14:textId="77777777">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A3210E" w14:textId="77777777" w:rsidR="00FA6BF1" w:rsidRPr="00702A1E" w:rsidRDefault="00091387" w:rsidP="00C97AA2">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Zakonska i druga pravna osnova: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60E4E6" w14:textId="723B865C" w:rsidR="005B2C7E" w:rsidRPr="00702A1E" w:rsidRDefault="005B2C7E" w:rsidP="00C97AA2">
            <w:pPr>
              <w:pStyle w:val="Standard"/>
              <w:jc w:val="both"/>
              <w:rPr>
                <w:sz w:val="22"/>
                <w:szCs w:val="22"/>
              </w:rPr>
            </w:pPr>
            <w:r w:rsidRPr="00702A1E">
              <w:rPr>
                <w:rFonts w:eastAsia="Symbol"/>
                <w:sz w:val="22"/>
                <w:szCs w:val="22"/>
                <w:lang w:val="pl-PL"/>
              </w:rPr>
              <w:t xml:space="preserve">Zakon o zdravstvenoj zaštiti, Zakon o obveznom zdravstvenom osiguranju, </w:t>
            </w:r>
            <w:r w:rsidRPr="00702A1E">
              <w:rPr>
                <w:sz w:val="22"/>
                <w:szCs w:val="22"/>
              </w:rPr>
              <w:t>Upute za izradu Proračuna Splitsko-dalmatinske županije za razdoblje 202</w:t>
            </w:r>
            <w:r w:rsidR="00530DEF" w:rsidRPr="00702A1E">
              <w:rPr>
                <w:sz w:val="22"/>
                <w:szCs w:val="22"/>
              </w:rPr>
              <w:t>4</w:t>
            </w:r>
            <w:r w:rsidRPr="00702A1E">
              <w:rPr>
                <w:sz w:val="22"/>
                <w:szCs w:val="22"/>
              </w:rPr>
              <w:t>.g.-202</w:t>
            </w:r>
            <w:r w:rsidR="00530DEF" w:rsidRPr="00702A1E">
              <w:rPr>
                <w:sz w:val="22"/>
                <w:szCs w:val="22"/>
              </w:rPr>
              <w:t>6</w:t>
            </w:r>
            <w:r w:rsidRPr="00702A1E">
              <w:rPr>
                <w:sz w:val="22"/>
                <w:szCs w:val="22"/>
              </w:rPr>
              <w:t>.g.</w:t>
            </w:r>
          </w:p>
          <w:p w14:paraId="0037C481" w14:textId="4B3A1476" w:rsidR="00FA6BF1" w:rsidRPr="00702A1E" w:rsidRDefault="00FA6BF1" w:rsidP="00C97AA2">
            <w:pPr>
              <w:widowControl/>
              <w:spacing w:after="0" w:line="240" w:lineRule="auto"/>
              <w:jc w:val="both"/>
              <w:rPr>
                <w:rFonts w:ascii="Times New Roman" w:hAnsi="Times New Roman" w:cs="Times New Roman"/>
              </w:rPr>
            </w:pPr>
          </w:p>
        </w:tc>
      </w:tr>
      <w:tr w:rsidR="00FA6BF1" w:rsidRPr="00702A1E" w14:paraId="43BA5BD8"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96BFAB1" w14:textId="77777777" w:rsidR="00FA6BF1" w:rsidRPr="00702A1E" w:rsidRDefault="00091387" w:rsidP="00C97AA2">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Opis aktivnosti / projekta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7D35BC" w14:textId="0B443594" w:rsidR="00FA6BF1" w:rsidRPr="00702A1E" w:rsidRDefault="00091387" w:rsidP="00C97AA2">
            <w:pPr>
              <w:widowControl/>
              <w:snapToGrid w:val="0"/>
              <w:spacing w:after="0" w:line="240" w:lineRule="auto"/>
              <w:jc w:val="both"/>
              <w:rPr>
                <w:rFonts w:ascii="Times New Roman" w:eastAsia="Times New Roman" w:hAnsi="Times New Roman" w:cs="Times New Roman"/>
                <w:kern w:val="0"/>
                <w:lang w:eastAsia="ar-SA"/>
              </w:rPr>
            </w:pPr>
            <w:r w:rsidRPr="00702A1E">
              <w:rPr>
                <w:rFonts w:ascii="Times New Roman" w:eastAsia="Times New Roman" w:hAnsi="Times New Roman" w:cs="Times New Roman"/>
                <w:kern w:val="0"/>
                <w:lang w:eastAsia="ar-SA"/>
              </w:rPr>
              <w:t>U prethodnim godinama su nabavljeni i postavljeni defibrilatori na javnim mjestima kojima se omoguć</w:t>
            </w:r>
            <w:r w:rsidR="008E7AB2" w:rsidRPr="00702A1E">
              <w:rPr>
                <w:rFonts w:ascii="Times New Roman" w:eastAsia="Times New Roman" w:hAnsi="Times New Roman" w:cs="Times New Roman"/>
                <w:kern w:val="0"/>
                <w:lang w:eastAsia="ar-SA"/>
              </w:rPr>
              <w:t xml:space="preserve">ava spašavanje životno ugroženih osoba </w:t>
            </w:r>
            <w:r w:rsidRPr="00702A1E">
              <w:rPr>
                <w:rFonts w:ascii="Times New Roman" w:eastAsia="Times New Roman" w:hAnsi="Times New Roman" w:cs="Times New Roman"/>
                <w:kern w:val="0"/>
                <w:lang w:eastAsia="ar-SA"/>
              </w:rPr>
              <w:t>već na javnom mjestu</w:t>
            </w:r>
            <w:r w:rsidR="008E7AB2" w:rsidRPr="00702A1E">
              <w:rPr>
                <w:rFonts w:ascii="Times New Roman" w:eastAsia="Times New Roman" w:hAnsi="Times New Roman" w:cs="Times New Roman"/>
                <w:kern w:val="0"/>
                <w:lang w:eastAsia="ar-SA"/>
              </w:rPr>
              <w:t>.</w:t>
            </w:r>
          </w:p>
          <w:p w14:paraId="34835A8B" w14:textId="75C8A3DA" w:rsidR="00FA6BF1" w:rsidRPr="00702A1E" w:rsidRDefault="001B65FA" w:rsidP="00C97AA2">
            <w:pPr>
              <w:widowControl/>
              <w:snapToGrid w:val="0"/>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 xml:space="preserve">Nabavom novih </w:t>
            </w:r>
            <w:r w:rsidR="00E80C32" w:rsidRPr="00702A1E">
              <w:rPr>
                <w:rFonts w:ascii="Times New Roman" w:eastAsia="Times New Roman" w:hAnsi="Times New Roman" w:cs="Times New Roman"/>
                <w:bCs/>
                <w:kern w:val="0"/>
                <w:lang w:eastAsia="ar-SA"/>
              </w:rPr>
              <w:t>automatskih defibrilatora</w:t>
            </w:r>
            <w:r w:rsidRPr="00702A1E">
              <w:rPr>
                <w:rFonts w:ascii="Times New Roman" w:eastAsia="Times New Roman" w:hAnsi="Times New Roman" w:cs="Times New Roman"/>
                <w:bCs/>
                <w:kern w:val="0"/>
                <w:lang w:eastAsia="ar-SA"/>
              </w:rPr>
              <w:t xml:space="preserve"> i r</w:t>
            </w:r>
            <w:r w:rsidR="00091387" w:rsidRPr="00702A1E">
              <w:rPr>
                <w:rFonts w:ascii="Times New Roman" w:eastAsia="Times New Roman" w:hAnsi="Times New Roman" w:cs="Times New Roman"/>
                <w:bCs/>
                <w:kern w:val="0"/>
                <w:lang w:eastAsia="ar-SA"/>
              </w:rPr>
              <w:t xml:space="preserve">edovitim održavanjem </w:t>
            </w:r>
            <w:r w:rsidR="00E80C32" w:rsidRPr="00702A1E">
              <w:rPr>
                <w:rFonts w:ascii="Times New Roman" w:eastAsia="Times New Roman" w:hAnsi="Times New Roman" w:cs="Times New Roman"/>
                <w:bCs/>
                <w:kern w:val="0"/>
                <w:lang w:eastAsia="ar-SA"/>
              </w:rPr>
              <w:t>uređaja</w:t>
            </w:r>
            <w:r w:rsidR="00091387" w:rsidRPr="00702A1E">
              <w:rPr>
                <w:rFonts w:ascii="Times New Roman" w:eastAsia="Times New Roman" w:hAnsi="Times New Roman" w:cs="Times New Roman"/>
                <w:bCs/>
                <w:kern w:val="0"/>
                <w:lang w:eastAsia="ar-SA"/>
              </w:rPr>
              <w:t xml:space="preserve"> postići će se bolja pokrivenosti, a time i mogućnost što bržeg </w:t>
            </w:r>
            <w:proofErr w:type="spellStart"/>
            <w:r w:rsidR="00091387" w:rsidRPr="00702A1E">
              <w:rPr>
                <w:rFonts w:ascii="Times New Roman" w:eastAsia="Times New Roman" w:hAnsi="Times New Roman" w:cs="Times New Roman"/>
                <w:bCs/>
                <w:kern w:val="0"/>
                <w:lang w:eastAsia="ar-SA"/>
              </w:rPr>
              <w:t>defibriliranja</w:t>
            </w:r>
            <w:proofErr w:type="spellEnd"/>
            <w:r w:rsidR="00091387" w:rsidRPr="00702A1E">
              <w:rPr>
                <w:rFonts w:ascii="Times New Roman" w:eastAsia="Times New Roman" w:hAnsi="Times New Roman" w:cs="Times New Roman"/>
                <w:bCs/>
                <w:kern w:val="0"/>
                <w:lang w:eastAsia="ar-SA"/>
              </w:rPr>
              <w:t xml:space="preserve"> </w:t>
            </w:r>
            <w:proofErr w:type="spellStart"/>
            <w:r w:rsidR="00091387" w:rsidRPr="00702A1E">
              <w:rPr>
                <w:rFonts w:ascii="Times New Roman" w:eastAsia="Times New Roman" w:hAnsi="Times New Roman" w:cs="Times New Roman"/>
                <w:bCs/>
                <w:kern w:val="0"/>
                <w:lang w:eastAsia="ar-SA"/>
              </w:rPr>
              <w:t>ventrikulskih</w:t>
            </w:r>
            <w:proofErr w:type="spellEnd"/>
            <w:r w:rsidR="00091387" w:rsidRPr="00702A1E">
              <w:rPr>
                <w:rFonts w:ascii="Times New Roman" w:eastAsia="Times New Roman" w:hAnsi="Times New Roman" w:cs="Times New Roman"/>
                <w:bCs/>
                <w:kern w:val="0"/>
                <w:lang w:eastAsia="ar-SA"/>
              </w:rPr>
              <w:t xml:space="preserve"> fibrilacija u što kraćem vremenskom roku te će se na taj način povećati stopa oživljavanja. </w:t>
            </w:r>
          </w:p>
          <w:p w14:paraId="2E3559E5" w14:textId="77777777" w:rsidR="00FA6BF1" w:rsidRPr="00702A1E" w:rsidRDefault="00FA6BF1" w:rsidP="00C97AA2">
            <w:pPr>
              <w:widowControl/>
              <w:snapToGrid w:val="0"/>
              <w:spacing w:after="0" w:line="240" w:lineRule="auto"/>
              <w:jc w:val="both"/>
              <w:rPr>
                <w:rFonts w:ascii="Times New Roman" w:eastAsia="Times New Roman" w:hAnsi="Times New Roman" w:cs="Times New Roman"/>
                <w:kern w:val="0"/>
                <w:lang w:eastAsia="ar-SA"/>
              </w:rPr>
            </w:pPr>
          </w:p>
          <w:p w14:paraId="4FC66009" w14:textId="7809FC42" w:rsidR="00FA6BF1" w:rsidRPr="00702A1E" w:rsidRDefault="00091387" w:rsidP="00C97AA2">
            <w:pPr>
              <w:widowControl/>
              <w:spacing w:after="0" w:line="240" w:lineRule="auto"/>
              <w:jc w:val="both"/>
              <w:rPr>
                <w:rFonts w:ascii="Times New Roman" w:eastAsia="Times New Roman" w:hAnsi="Times New Roman" w:cs="Times New Roman"/>
                <w:bCs/>
                <w:kern w:val="0"/>
                <w:lang w:eastAsia="ar-SA"/>
              </w:rPr>
            </w:pPr>
            <w:r w:rsidRPr="00702A1E">
              <w:rPr>
                <w:rFonts w:ascii="Times New Roman" w:eastAsia="Times New Roman" w:hAnsi="Times New Roman" w:cs="Times New Roman"/>
                <w:bCs/>
                <w:kern w:val="0"/>
                <w:lang w:eastAsia="ar-SA"/>
              </w:rPr>
              <w:t>Izvor financiranja ove aktivnosti, koja obuhvaća 0,</w:t>
            </w:r>
            <w:r w:rsidR="00E80C32" w:rsidRPr="00702A1E">
              <w:rPr>
                <w:rFonts w:ascii="Times New Roman" w:eastAsia="Times New Roman" w:hAnsi="Times New Roman" w:cs="Times New Roman"/>
                <w:bCs/>
                <w:kern w:val="0"/>
                <w:lang w:eastAsia="ar-SA"/>
              </w:rPr>
              <w:t>2</w:t>
            </w:r>
            <w:r w:rsidRPr="00702A1E">
              <w:rPr>
                <w:rFonts w:ascii="Times New Roman" w:eastAsia="Times New Roman" w:hAnsi="Times New Roman" w:cs="Times New Roman"/>
                <w:bCs/>
                <w:kern w:val="0"/>
                <w:lang w:eastAsia="ar-SA"/>
              </w:rPr>
              <w:t>% ukupnog plana za 202</w:t>
            </w:r>
            <w:r w:rsidR="00E80C32"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 xml:space="preserve">.god., je prihod za posebne namjene osiguran preko SDŽ u iznosu od </w:t>
            </w:r>
            <w:r w:rsidR="00E80C32" w:rsidRPr="00702A1E">
              <w:rPr>
                <w:rFonts w:ascii="Times New Roman" w:eastAsia="Times New Roman" w:hAnsi="Times New Roman" w:cs="Times New Roman"/>
                <w:bCs/>
                <w:kern w:val="0"/>
                <w:lang w:eastAsia="ar-SA"/>
              </w:rPr>
              <w:t>40.000,00</w:t>
            </w:r>
            <w:r w:rsidRPr="00702A1E">
              <w:rPr>
                <w:rFonts w:ascii="Times New Roman" w:eastAsia="Times New Roman" w:hAnsi="Times New Roman" w:cs="Times New Roman"/>
                <w:bCs/>
                <w:kern w:val="0"/>
                <w:lang w:eastAsia="ar-SA"/>
              </w:rPr>
              <w:t xml:space="preserve"> € u 202</w:t>
            </w:r>
            <w:r w:rsidR="00E80C32" w:rsidRPr="00702A1E">
              <w:rPr>
                <w:rFonts w:ascii="Times New Roman" w:eastAsia="Times New Roman" w:hAnsi="Times New Roman" w:cs="Times New Roman"/>
                <w:bCs/>
                <w:kern w:val="0"/>
                <w:lang w:eastAsia="ar-SA"/>
              </w:rPr>
              <w:t>4</w:t>
            </w:r>
            <w:r w:rsidRPr="00702A1E">
              <w:rPr>
                <w:rFonts w:ascii="Times New Roman" w:eastAsia="Times New Roman" w:hAnsi="Times New Roman" w:cs="Times New Roman"/>
                <w:bCs/>
                <w:kern w:val="0"/>
                <w:lang w:eastAsia="ar-SA"/>
              </w:rPr>
              <w:t>.g.</w:t>
            </w:r>
            <w:r w:rsidR="00E80C32" w:rsidRPr="00702A1E">
              <w:rPr>
                <w:rFonts w:ascii="Times New Roman" w:eastAsia="Times New Roman" w:hAnsi="Times New Roman" w:cs="Times New Roman"/>
                <w:bCs/>
                <w:kern w:val="0"/>
                <w:lang w:eastAsia="ar-SA"/>
              </w:rPr>
              <w:t xml:space="preserve"> te po 20.000,00 </w:t>
            </w:r>
            <w:r w:rsidRPr="00702A1E">
              <w:rPr>
                <w:rFonts w:ascii="Times New Roman" w:eastAsia="Times New Roman" w:hAnsi="Times New Roman" w:cs="Times New Roman"/>
                <w:bCs/>
                <w:kern w:val="0"/>
                <w:lang w:eastAsia="ar-SA"/>
              </w:rPr>
              <w:t>€ u 202</w:t>
            </w:r>
            <w:r w:rsidR="00E80C32" w:rsidRPr="00702A1E">
              <w:rPr>
                <w:rFonts w:ascii="Times New Roman" w:eastAsia="Times New Roman" w:hAnsi="Times New Roman" w:cs="Times New Roman"/>
                <w:bCs/>
                <w:kern w:val="0"/>
                <w:lang w:eastAsia="ar-SA"/>
              </w:rPr>
              <w:t>5</w:t>
            </w:r>
            <w:r w:rsidRPr="00702A1E">
              <w:rPr>
                <w:rFonts w:ascii="Times New Roman" w:eastAsia="Times New Roman" w:hAnsi="Times New Roman" w:cs="Times New Roman"/>
                <w:bCs/>
                <w:kern w:val="0"/>
                <w:lang w:eastAsia="ar-SA"/>
              </w:rPr>
              <w:t>.g. i 202</w:t>
            </w:r>
            <w:r w:rsidR="00E80C32" w:rsidRPr="00702A1E">
              <w:rPr>
                <w:rFonts w:ascii="Times New Roman" w:eastAsia="Times New Roman" w:hAnsi="Times New Roman" w:cs="Times New Roman"/>
                <w:bCs/>
                <w:kern w:val="0"/>
                <w:lang w:eastAsia="ar-SA"/>
              </w:rPr>
              <w:t>6</w:t>
            </w:r>
            <w:r w:rsidRPr="00702A1E">
              <w:rPr>
                <w:rFonts w:ascii="Times New Roman" w:eastAsia="Times New Roman" w:hAnsi="Times New Roman" w:cs="Times New Roman"/>
                <w:bCs/>
                <w:kern w:val="0"/>
                <w:lang w:eastAsia="ar-SA"/>
              </w:rPr>
              <w:t>.godini.</w:t>
            </w:r>
          </w:p>
          <w:p w14:paraId="085F1BCE" w14:textId="77777777" w:rsidR="00FA6BF1" w:rsidRPr="00702A1E" w:rsidRDefault="00FA6BF1" w:rsidP="00C97AA2">
            <w:pPr>
              <w:widowControl/>
              <w:spacing w:after="0" w:line="240" w:lineRule="auto"/>
              <w:jc w:val="both"/>
              <w:rPr>
                <w:rFonts w:ascii="Times New Roman" w:hAnsi="Times New Roman" w:cs="Times New Roman"/>
                <w:bCs/>
                <w:color w:val="000000"/>
              </w:rPr>
            </w:pPr>
          </w:p>
        </w:tc>
      </w:tr>
      <w:tr w:rsidR="00FA6BF1" w:rsidRPr="00702A1E" w14:paraId="3F95B7E6"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F62352C" w14:textId="77777777" w:rsidR="00FA6BF1" w:rsidRPr="00702A1E" w:rsidRDefault="00091387" w:rsidP="00C97AA2">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Obrazloženje izračuna financijskih sredstava: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9ED2AB" w14:textId="2EDEA274" w:rsidR="00FA6BF1" w:rsidRPr="00702A1E" w:rsidRDefault="00E80C32" w:rsidP="00C97AA2">
            <w:pPr>
              <w:spacing w:line="240" w:lineRule="auto"/>
              <w:jc w:val="both"/>
              <w:textAlignment w:val="baseline"/>
              <w:rPr>
                <w:rFonts w:ascii="Times New Roman" w:eastAsia="Times New Roman" w:hAnsi="Times New Roman" w:cs="Times New Roman"/>
                <w:kern w:val="0"/>
                <w:lang w:eastAsia="ar-SA"/>
              </w:rPr>
            </w:pPr>
            <w:r w:rsidRPr="00702A1E">
              <w:rPr>
                <w:rFonts w:ascii="Times New Roman" w:eastAsia="Times New Roman" w:hAnsi="Times New Roman" w:cs="Times New Roman"/>
                <w:kern w:val="0"/>
                <w:lang w:eastAsia="ar-SA"/>
              </w:rPr>
              <w:t>U 2024.g. u</w:t>
            </w:r>
            <w:r w:rsidR="00091387" w:rsidRPr="00702A1E">
              <w:rPr>
                <w:rFonts w:ascii="Times New Roman" w:eastAsia="Times New Roman" w:hAnsi="Times New Roman" w:cs="Times New Roman"/>
                <w:kern w:val="0"/>
                <w:lang w:eastAsia="ar-SA"/>
              </w:rPr>
              <w:t xml:space="preserve"> sklopu ove Aktivnosti obuhvaćeni su materijalni rashodi (popravak i servis defibrilatora) u iznosu od </w:t>
            </w:r>
            <w:r w:rsidRPr="00702A1E">
              <w:rPr>
                <w:rFonts w:ascii="Times New Roman" w:eastAsia="Times New Roman" w:hAnsi="Times New Roman" w:cs="Times New Roman"/>
                <w:kern w:val="0"/>
                <w:lang w:eastAsia="ar-SA"/>
              </w:rPr>
              <w:t>20.000</w:t>
            </w:r>
            <w:r w:rsidR="00091387" w:rsidRPr="00702A1E">
              <w:rPr>
                <w:rFonts w:ascii="Times New Roman" w:eastAsia="Times New Roman" w:hAnsi="Times New Roman" w:cs="Times New Roman"/>
                <w:kern w:val="0"/>
                <w:lang w:eastAsia="ar-SA"/>
              </w:rPr>
              <w:t xml:space="preserve">,00 € </w:t>
            </w:r>
            <w:r w:rsidRPr="00702A1E">
              <w:rPr>
                <w:rFonts w:ascii="Times New Roman" w:eastAsia="Times New Roman" w:hAnsi="Times New Roman" w:cs="Times New Roman"/>
                <w:kern w:val="0"/>
                <w:lang w:eastAsia="ar-SA"/>
              </w:rPr>
              <w:t xml:space="preserve">te rashodi nabave novih uređaja u iznosu od 20.000,00 € </w:t>
            </w:r>
            <w:r w:rsidR="00091387" w:rsidRPr="00702A1E">
              <w:rPr>
                <w:rFonts w:ascii="Times New Roman" w:eastAsia="Times New Roman" w:hAnsi="Times New Roman" w:cs="Times New Roman"/>
                <w:kern w:val="0"/>
                <w:lang w:eastAsia="ar-SA"/>
              </w:rPr>
              <w:t>što čini 0,1% ukupnih rashoda u 202</w:t>
            </w:r>
            <w:r w:rsidRPr="00702A1E">
              <w:rPr>
                <w:rFonts w:ascii="Times New Roman" w:eastAsia="Times New Roman" w:hAnsi="Times New Roman" w:cs="Times New Roman"/>
                <w:kern w:val="0"/>
                <w:lang w:eastAsia="ar-SA"/>
              </w:rPr>
              <w:t>4</w:t>
            </w:r>
            <w:r w:rsidR="00091387" w:rsidRPr="00702A1E">
              <w:rPr>
                <w:rFonts w:ascii="Times New Roman" w:eastAsia="Times New Roman" w:hAnsi="Times New Roman" w:cs="Times New Roman"/>
                <w:kern w:val="0"/>
                <w:lang w:eastAsia="ar-SA"/>
              </w:rPr>
              <w:t xml:space="preserve">.god. </w:t>
            </w:r>
          </w:p>
          <w:p w14:paraId="56C78713" w14:textId="0DC4B557" w:rsidR="00FA6BF1" w:rsidRPr="00702A1E" w:rsidRDefault="00091387" w:rsidP="00C97AA2">
            <w:pPr>
              <w:spacing w:line="240" w:lineRule="auto"/>
              <w:jc w:val="both"/>
              <w:rPr>
                <w:rFonts w:ascii="Times New Roman" w:eastAsia="Times New Roman" w:hAnsi="Times New Roman" w:cs="Times New Roman"/>
                <w:bCs/>
                <w:kern w:val="0"/>
                <w:lang w:eastAsia="ar-SA"/>
              </w:rPr>
            </w:pPr>
            <w:r w:rsidRPr="00702A1E">
              <w:rPr>
                <w:rFonts w:ascii="Times New Roman" w:hAnsi="Times New Roman" w:cs="Times New Roman"/>
                <w:iCs/>
              </w:rPr>
              <w:t>U 202</w:t>
            </w:r>
            <w:r w:rsidR="00E80C32" w:rsidRPr="00702A1E">
              <w:rPr>
                <w:rFonts w:ascii="Times New Roman" w:hAnsi="Times New Roman" w:cs="Times New Roman"/>
                <w:iCs/>
              </w:rPr>
              <w:t>5</w:t>
            </w:r>
            <w:r w:rsidRPr="00702A1E">
              <w:rPr>
                <w:rFonts w:ascii="Times New Roman" w:hAnsi="Times New Roman" w:cs="Times New Roman"/>
                <w:iCs/>
              </w:rPr>
              <w:t xml:space="preserve">. </w:t>
            </w:r>
            <w:r w:rsidR="00E80C32" w:rsidRPr="00702A1E">
              <w:rPr>
                <w:rFonts w:ascii="Times New Roman" w:hAnsi="Times New Roman" w:cs="Times New Roman"/>
                <w:iCs/>
              </w:rPr>
              <w:t xml:space="preserve">g. i 2026.g. planira se po 20.000,00 </w:t>
            </w:r>
            <w:r w:rsidRPr="00702A1E">
              <w:rPr>
                <w:rFonts w:ascii="Times New Roman" w:hAnsi="Times New Roman" w:cs="Times New Roman"/>
                <w:iCs/>
              </w:rPr>
              <w:t xml:space="preserve">€ </w:t>
            </w:r>
            <w:r w:rsidR="00E80C32" w:rsidRPr="00702A1E">
              <w:rPr>
                <w:rFonts w:ascii="Times New Roman" w:hAnsi="Times New Roman" w:cs="Times New Roman"/>
                <w:iCs/>
              </w:rPr>
              <w:t xml:space="preserve">za </w:t>
            </w:r>
            <w:r w:rsidR="00C10509" w:rsidRPr="00702A1E">
              <w:rPr>
                <w:rFonts w:ascii="Times New Roman" w:hAnsi="Times New Roman" w:cs="Times New Roman"/>
                <w:iCs/>
              </w:rPr>
              <w:t xml:space="preserve">održavanje postojećih </w:t>
            </w:r>
            <w:r w:rsidR="00E80C32" w:rsidRPr="00702A1E">
              <w:rPr>
                <w:rFonts w:ascii="Times New Roman" w:eastAsia="Times New Roman" w:hAnsi="Times New Roman" w:cs="Times New Roman"/>
                <w:bCs/>
                <w:kern w:val="0"/>
                <w:lang w:eastAsia="ar-SA"/>
              </w:rPr>
              <w:t>automatskih defibrilatora.</w:t>
            </w:r>
          </w:p>
        </w:tc>
      </w:tr>
      <w:tr w:rsidR="00FA6BF1" w:rsidRPr="00702A1E" w14:paraId="51B1AD61" w14:textId="77777777">
        <w:trPr>
          <w:trHeight w:val="257"/>
        </w:trPr>
        <w:tc>
          <w:tcPr>
            <w:tcW w:w="940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209" w:type="dxa"/>
              <w:tblLayout w:type="fixed"/>
              <w:tblCellMar>
                <w:left w:w="10" w:type="dxa"/>
                <w:right w:w="10" w:type="dxa"/>
              </w:tblCellMar>
              <w:tblLook w:val="04A0" w:firstRow="1" w:lastRow="0" w:firstColumn="1" w:lastColumn="0" w:noHBand="0" w:noVBand="1"/>
            </w:tblPr>
            <w:tblGrid>
              <w:gridCol w:w="1580"/>
              <w:gridCol w:w="1378"/>
              <w:gridCol w:w="1492"/>
              <w:gridCol w:w="1492"/>
              <w:gridCol w:w="1566"/>
              <w:gridCol w:w="1701"/>
            </w:tblGrid>
            <w:tr w:rsidR="00820E7E" w:rsidRPr="00487224" w14:paraId="3EECD790"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BCBDC8" w14:textId="0869280C"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lastRenderedPageBreak/>
                    <w:t>Izvršeno 2022.</w:t>
                  </w:r>
                </w:p>
              </w:tc>
              <w:tc>
                <w:tcPr>
                  <w:tcW w:w="137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CC98994" w14:textId="5BC3E406"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Financijski plan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AAFF092" w14:textId="4388A026"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II. Rebalans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AACE9FB" w14:textId="7767D97C"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Plan 2024.</w:t>
                  </w:r>
                </w:p>
              </w:tc>
              <w:tc>
                <w:tcPr>
                  <w:tcW w:w="15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6990CF6" w14:textId="660F5D49"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Projekcija 2025.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8931DD8" w14:textId="767AA171"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Projekcija 2026.</w:t>
                  </w:r>
                </w:p>
              </w:tc>
            </w:tr>
            <w:tr w:rsidR="00820E7E" w:rsidRPr="00487224" w14:paraId="76B30832"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167EF7" w14:textId="53AE49E0"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26.544,56 €</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1806E" w14:textId="761BFDFE"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26.530,00 €</w:t>
                  </w:r>
                </w:p>
              </w:tc>
              <w:tc>
                <w:tcPr>
                  <w:tcW w:w="14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8C65D" w14:textId="1DCB3D08"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39.802,28 €</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5EC5CA" w14:textId="10713110"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40.000,00 €</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D68E5A" w14:textId="4B7ABDB2"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20.000,00 €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2006D5" w14:textId="572194AC"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20.000,00 €</w:t>
                  </w:r>
                </w:p>
              </w:tc>
            </w:tr>
          </w:tbl>
          <w:p w14:paraId="4D4E58CE" w14:textId="77777777" w:rsidR="00FA6BF1" w:rsidRPr="00487224" w:rsidRDefault="00FA6BF1">
            <w:pPr>
              <w:widowControl/>
              <w:spacing w:after="0" w:line="240" w:lineRule="auto"/>
              <w:textAlignment w:val="baseline"/>
              <w:rPr>
                <w:rFonts w:ascii="Times New Roman" w:eastAsia="Times New Roman" w:hAnsi="Times New Roman" w:cs="Times New Roman"/>
                <w:b/>
                <w:bCs/>
                <w:color w:val="000000"/>
                <w:lang w:eastAsia="hr-HR"/>
              </w:rPr>
            </w:pPr>
          </w:p>
        </w:tc>
      </w:tr>
      <w:tr w:rsidR="00FA6BF1" w:rsidRPr="00702A1E" w14:paraId="50F622B3"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8553436" w14:textId="5AE149F0"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color w:val="000000"/>
                <w:lang w:eastAsia="hr-HR"/>
              </w:rPr>
              <w:t>Obrazloženja odstupanja od projekcija za 202</w:t>
            </w:r>
            <w:r w:rsidR="004D22C2" w:rsidRPr="00702A1E">
              <w:rPr>
                <w:rFonts w:ascii="Times New Roman" w:eastAsia="Times New Roman" w:hAnsi="Times New Roman" w:cs="Times New Roman"/>
                <w:b/>
                <w:color w:val="000000"/>
                <w:lang w:eastAsia="hr-HR"/>
              </w:rPr>
              <w:t>4</w:t>
            </w:r>
            <w:r w:rsidRPr="00702A1E">
              <w:rPr>
                <w:rFonts w:ascii="Times New Roman" w:eastAsia="Times New Roman" w:hAnsi="Times New Roman" w:cs="Times New Roman"/>
                <w:b/>
                <w:color w:val="000000"/>
                <w:lang w:eastAsia="hr-HR"/>
              </w:rPr>
              <w:t>. i 202</w:t>
            </w:r>
            <w:r w:rsidR="004D22C2" w:rsidRPr="00702A1E">
              <w:rPr>
                <w:rFonts w:ascii="Times New Roman" w:eastAsia="Times New Roman" w:hAnsi="Times New Roman" w:cs="Times New Roman"/>
                <w:b/>
                <w:color w:val="000000"/>
                <w:lang w:eastAsia="hr-HR"/>
              </w:rPr>
              <w:t>5</w:t>
            </w:r>
            <w:r w:rsidRPr="00702A1E">
              <w:rPr>
                <w:rFonts w:ascii="Times New Roman" w:eastAsia="Times New Roman" w:hAnsi="Times New Roman" w:cs="Times New Roman"/>
                <w:b/>
                <w:color w:val="000000"/>
                <w:lang w:eastAsia="hr-HR"/>
              </w:rPr>
              <w:t>. usvojenih u prošlogodišnjem Proračunu</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C0CA84" w14:textId="77777777" w:rsidR="00FA6BF1" w:rsidRPr="00702A1E" w:rsidRDefault="00FA6BF1">
            <w:pPr>
              <w:widowControl/>
              <w:snapToGrid w:val="0"/>
              <w:spacing w:after="0" w:line="240" w:lineRule="auto"/>
              <w:jc w:val="both"/>
              <w:rPr>
                <w:rFonts w:ascii="Times New Roman" w:eastAsia="Times New Roman" w:hAnsi="Times New Roman" w:cs="Times New Roman"/>
                <w:iCs/>
                <w:lang w:eastAsia="hr-HR"/>
              </w:rPr>
            </w:pPr>
          </w:p>
          <w:p w14:paraId="5F5665A0" w14:textId="488F8651" w:rsidR="00B24952" w:rsidRPr="00702A1E" w:rsidRDefault="00B24952">
            <w:pPr>
              <w:widowControl/>
              <w:snapToGrid w:val="0"/>
              <w:spacing w:after="0" w:line="240" w:lineRule="auto"/>
              <w:jc w:val="both"/>
              <w:rPr>
                <w:rFonts w:ascii="Times New Roman" w:eastAsia="Times New Roman" w:hAnsi="Times New Roman" w:cs="Times New Roman"/>
                <w:iCs/>
                <w:lang w:eastAsia="hr-HR"/>
              </w:rPr>
            </w:pPr>
            <w:r w:rsidRPr="00702A1E">
              <w:rPr>
                <w:rFonts w:ascii="Times New Roman" w:eastAsia="Times New Roman" w:hAnsi="Times New Roman" w:cs="Times New Roman"/>
                <w:iCs/>
                <w:lang w:eastAsia="hr-HR"/>
              </w:rPr>
              <w:t>U odnosu na prošlogodišnje projekcije ova aktivnost u 2024.g. veća je za 50,7% jer se u prošlo</w:t>
            </w:r>
            <w:r w:rsidR="00114158" w:rsidRPr="00702A1E">
              <w:rPr>
                <w:rFonts w:ascii="Times New Roman" w:eastAsia="Times New Roman" w:hAnsi="Times New Roman" w:cs="Times New Roman"/>
                <w:iCs/>
                <w:lang w:eastAsia="hr-HR"/>
              </w:rPr>
              <w:t>j projekciji</w:t>
            </w:r>
            <w:r w:rsidRPr="00702A1E">
              <w:rPr>
                <w:rFonts w:ascii="Times New Roman" w:eastAsia="Times New Roman" w:hAnsi="Times New Roman" w:cs="Times New Roman"/>
                <w:iCs/>
                <w:lang w:eastAsia="hr-HR"/>
              </w:rPr>
              <w:t xml:space="preserve"> planiralo samo održavanje </w:t>
            </w:r>
            <w:r w:rsidRPr="00702A1E">
              <w:rPr>
                <w:rFonts w:ascii="Times New Roman" w:eastAsia="Times New Roman" w:hAnsi="Times New Roman" w:cs="Times New Roman"/>
                <w:bCs/>
                <w:iCs/>
                <w:kern w:val="0"/>
                <w:lang w:eastAsia="ar-SA"/>
              </w:rPr>
              <w:t>automatskih defibrilatora u iznosu od 20.000,00 € dok se u sadašnjem planu planira uz redovno održavanje uređaja i nabava novih uređaja.</w:t>
            </w:r>
          </w:p>
          <w:p w14:paraId="6D5928C1" w14:textId="187B5564" w:rsidR="00B24952" w:rsidRPr="00702A1E" w:rsidRDefault="00B24952">
            <w:pPr>
              <w:widowControl/>
              <w:snapToGrid w:val="0"/>
              <w:spacing w:after="0" w:line="240" w:lineRule="auto"/>
              <w:jc w:val="both"/>
              <w:rPr>
                <w:rFonts w:ascii="Times New Roman" w:eastAsia="Times New Roman" w:hAnsi="Times New Roman" w:cs="Times New Roman"/>
                <w:iCs/>
                <w:lang w:eastAsia="hr-HR"/>
              </w:rPr>
            </w:pPr>
            <w:r w:rsidRPr="00702A1E">
              <w:rPr>
                <w:rFonts w:ascii="Times New Roman" w:eastAsia="Times New Roman" w:hAnsi="Times New Roman" w:cs="Times New Roman"/>
                <w:iCs/>
                <w:lang w:eastAsia="hr-HR"/>
              </w:rPr>
              <w:t xml:space="preserve">U odnosu na prošlogodišnju projekciju ova aktivnost </w:t>
            </w:r>
            <w:r w:rsidR="00114158" w:rsidRPr="00702A1E">
              <w:rPr>
                <w:rFonts w:ascii="Times New Roman" w:eastAsia="Times New Roman" w:hAnsi="Times New Roman" w:cs="Times New Roman"/>
                <w:iCs/>
                <w:lang w:eastAsia="hr-HR"/>
              </w:rPr>
              <w:t>u</w:t>
            </w:r>
            <w:r w:rsidRPr="00702A1E">
              <w:rPr>
                <w:rFonts w:ascii="Times New Roman" w:eastAsia="Times New Roman" w:hAnsi="Times New Roman" w:cs="Times New Roman"/>
                <w:iCs/>
                <w:lang w:eastAsia="hr-HR"/>
              </w:rPr>
              <w:t xml:space="preserve"> 2025.g. manja </w:t>
            </w:r>
            <w:r w:rsidR="003073C2" w:rsidRPr="00702A1E">
              <w:rPr>
                <w:rFonts w:ascii="Times New Roman" w:eastAsia="Times New Roman" w:hAnsi="Times New Roman" w:cs="Times New Roman"/>
                <w:iCs/>
                <w:lang w:eastAsia="hr-HR"/>
              </w:rPr>
              <w:t xml:space="preserve">je </w:t>
            </w:r>
            <w:r w:rsidRPr="00702A1E">
              <w:rPr>
                <w:rFonts w:ascii="Times New Roman" w:eastAsia="Times New Roman" w:hAnsi="Times New Roman" w:cs="Times New Roman"/>
                <w:iCs/>
                <w:lang w:eastAsia="hr-HR"/>
              </w:rPr>
              <w:t xml:space="preserve">za 24,6 % jer </w:t>
            </w:r>
            <w:r w:rsidR="00114158" w:rsidRPr="00702A1E">
              <w:rPr>
                <w:rFonts w:ascii="Times New Roman" w:eastAsia="Times New Roman" w:hAnsi="Times New Roman" w:cs="Times New Roman"/>
                <w:iCs/>
                <w:lang w:eastAsia="hr-HR"/>
              </w:rPr>
              <w:t xml:space="preserve">su </w:t>
            </w:r>
            <w:r w:rsidRPr="00702A1E">
              <w:rPr>
                <w:rFonts w:ascii="Times New Roman" w:eastAsia="Times New Roman" w:hAnsi="Times New Roman" w:cs="Times New Roman"/>
                <w:iCs/>
                <w:lang w:eastAsia="hr-HR"/>
              </w:rPr>
              <w:t>iz Proračuna SDŽ smanjenja sredstava za ovu aktivnost.</w:t>
            </w:r>
          </w:p>
          <w:p w14:paraId="34BC5D97" w14:textId="77777777" w:rsidR="00B24952" w:rsidRPr="00702A1E" w:rsidRDefault="00B24952">
            <w:pPr>
              <w:widowControl/>
              <w:snapToGrid w:val="0"/>
              <w:spacing w:after="0" w:line="240" w:lineRule="auto"/>
              <w:jc w:val="both"/>
              <w:rPr>
                <w:rFonts w:ascii="Times New Roman" w:eastAsia="Times New Roman" w:hAnsi="Times New Roman" w:cs="Times New Roman"/>
                <w:iCs/>
                <w:lang w:eastAsia="hr-HR"/>
              </w:rPr>
            </w:pPr>
          </w:p>
          <w:p w14:paraId="6A260E0E" w14:textId="29E88299" w:rsidR="00FA6BF1" w:rsidRPr="00702A1E" w:rsidRDefault="00FA6BF1">
            <w:pPr>
              <w:widowControl/>
              <w:snapToGrid w:val="0"/>
              <w:spacing w:after="0" w:line="240" w:lineRule="auto"/>
              <w:jc w:val="both"/>
              <w:rPr>
                <w:rFonts w:ascii="Times New Roman" w:hAnsi="Times New Roman" w:cs="Times New Roman"/>
                <w:bCs/>
                <w:iCs/>
              </w:rPr>
            </w:pPr>
          </w:p>
        </w:tc>
      </w:tr>
    </w:tbl>
    <w:p w14:paraId="0D9E1149" w14:textId="77777777" w:rsidR="00FA6BF1" w:rsidRPr="00702A1E" w:rsidRDefault="00FA6BF1">
      <w:pPr>
        <w:pStyle w:val="Standard"/>
        <w:rPr>
          <w:sz w:val="22"/>
          <w:szCs w:val="22"/>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050"/>
        <w:gridCol w:w="928"/>
        <w:gridCol w:w="1276"/>
        <w:gridCol w:w="1133"/>
        <w:gridCol w:w="1230"/>
        <w:gridCol w:w="1269"/>
        <w:gridCol w:w="1270"/>
      </w:tblGrid>
      <w:tr w:rsidR="00FA6BF1" w:rsidRPr="00702A1E" w14:paraId="0DFF33E6" w14:textId="77777777">
        <w:trPr>
          <w:trHeight w:val="651"/>
        </w:trPr>
        <w:tc>
          <w:tcPr>
            <w:tcW w:w="1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409D259" w14:textId="77777777" w:rsidR="00FA6BF1" w:rsidRPr="00702A1E" w:rsidRDefault="00091387">
            <w:pPr>
              <w:pStyle w:val="Standard"/>
              <w:rPr>
                <w:sz w:val="22"/>
                <w:szCs w:val="22"/>
              </w:rPr>
            </w:pPr>
            <w:r w:rsidRPr="00702A1E">
              <w:rPr>
                <w:b/>
                <w:sz w:val="22"/>
                <w:szCs w:val="22"/>
              </w:rPr>
              <w:t>Pokazatelj rezultata</w:t>
            </w:r>
          </w:p>
        </w:tc>
        <w:tc>
          <w:tcPr>
            <w:tcW w:w="105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7D755FC" w14:textId="77777777" w:rsidR="00FA6BF1" w:rsidRPr="00702A1E" w:rsidRDefault="00091387">
            <w:pPr>
              <w:pStyle w:val="Standard"/>
              <w:jc w:val="center"/>
              <w:rPr>
                <w:sz w:val="22"/>
                <w:szCs w:val="22"/>
              </w:rPr>
            </w:pPr>
            <w:r w:rsidRPr="00702A1E">
              <w:rPr>
                <w:b/>
                <w:sz w:val="22"/>
                <w:szCs w:val="22"/>
              </w:rPr>
              <w:t>Definicija</w:t>
            </w:r>
          </w:p>
        </w:tc>
        <w:tc>
          <w:tcPr>
            <w:tcW w:w="9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B0A5A1E" w14:textId="77777777" w:rsidR="00FA6BF1" w:rsidRPr="00702A1E" w:rsidRDefault="00091387">
            <w:pPr>
              <w:pStyle w:val="Standard"/>
              <w:jc w:val="center"/>
              <w:rPr>
                <w:sz w:val="22"/>
                <w:szCs w:val="22"/>
              </w:rPr>
            </w:pPr>
            <w:r w:rsidRPr="00702A1E">
              <w:rPr>
                <w:b/>
                <w:sz w:val="22"/>
                <w:szCs w:val="22"/>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7302C3C" w14:textId="7CED5ED2" w:rsidR="00FA6BF1" w:rsidRPr="00702A1E" w:rsidRDefault="00091387">
            <w:pPr>
              <w:pStyle w:val="Standard"/>
              <w:jc w:val="center"/>
              <w:rPr>
                <w:sz w:val="22"/>
                <w:szCs w:val="22"/>
              </w:rPr>
            </w:pPr>
            <w:r w:rsidRPr="00702A1E">
              <w:rPr>
                <w:b/>
                <w:sz w:val="22"/>
                <w:szCs w:val="22"/>
              </w:rPr>
              <w:t>Polazna vrijednost 202</w:t>
            </w:r>
            <w:r w:rsidR="00E76181" w:rsidRPr="00702A1E">
              <w:rPr>
                <w:b/>
                <w:sz w:val="22"/>
                <w:szCs w:val="22"/>
              </w:rPr>
              <w:t>3</w:t>
            </w:r>
            <w:r w:rsidRPr="00702A1E">
              <w:rPr>
                <w:b/>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E1DACAC" w14:textId="77777777" w:rsidR="00FA6BF1" w:rsidRPr="00702A1E" w:rsidRDefault="00091387">
            <w:pPr>
              <w:pStyle w:val="Standard"/>
              <w:jc w:val="center"/>
              <w:rPr>
                <w:sz w:val="22"/>
                <w:szCs w:val="22"/>
              </w:rPr>
            </w:pPr>
            <w:r w:rsidRPr="00702A1E">
              <w:rPr>
                <w:b/>
                <w:sz w:val="22"/>
                <w:szCs w:val="22"/>
              </w:rPr>
              <w:t>Izvor podataka</w:t>
            </w:r>
          </w:p>
        </w:tc>
        <w:tc>
          <w:tcPr>
            <w:tcW w:w="12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3762923" w14:textId="0B2F75B3"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4</w:t>
            </w:r>
            <w:r w:rsidRPr="00702A1E">
              <w:rPr>
                <w:b/>
                <w:sz w:val="22"/>
                <w:szCs w:val="22"/>
              </w:rPr>
              <w:t>.</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4F7B5" w14:textId="7248D9F0"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5</w:t>
            </w:r>
            <w:r w:rsidRPr="00702A1E">
              <w:rPr>
                <w:b/>
                <w:sz w:val="22"/>
                <w:szCs w:val="22"/>
              </w:rPr>
              <w:t>.</w:t>
            </w:r>
          </w:p>
        </w:tc>
        <w:tc>
          <w:tcPr>
            <w:tcW w:w="12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A6FCC58" w14:textId="2ACBCBF1" w:rsidR="00FA6BF1" w:rsidRPr="00702A1E" w:rsidRDefault="00091387">
            <w:pPr>
              <w:pStyle w:val="Standard"/>
              <w:jc w:val="center"/>
              <w:rPr>
                <w:sz w:val="22"/>
                <w:szCs w:val="22"/>
              </w:rPr>
            </w:pPr>
            <w:r w:rsidRPr="00702A1E">
              <w:rPr>
                <w:b/>
                <w:sz w:val="22"/>
                <w:szCs w:val="22"/>
              </w:rPr>
              <w:t>Ciljana vrijednost 202</w:t>
            </w:r>
            <w:r w:rsidR="00E76181" w:rsidRPr="00702A1E">
              <w:rPr>
                <w:b/>
                <w:sz w:val="22"/>
                <w:szCs w:val="22"/>
              </w:rPr>
              <w:t>6</w:t>
            </w:r>
            <w:r w:rsidRPr="00702A1E">
              <w:rPr>
                <w:b/>
                <w:sz w:val="22"/>
                <w:szCs w:val="22"/>
              </w:rPr>
              <w:t>.</w:t>
            </w:r>
          </w:p>
        </w:tc>
      </w:tr>
      <w:tr w:rsidR="00FA6BF1" w:rsidRPr="00702A1E" w14:paraId="69B5DC20" w14:textId="77777777">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76AF90" w14:textId="77777777" w:rsidR="00FA6BF1" w:rsidRPr="00702A1E" w:rsidRDefault="00091387">
            <w:pPr>
              <w:pStyle w:val="Standard"/>
              <w:rPr>
                <w:sz w:val="22"/>
                <w:szCs w:val="22"/>
              </w:rPr>
            </w:pPr>
            <w:r w:rsidRPr="00702A1E">
              <w:rPr>
                <w:sz w:val="22"/>
                <w:szCs w:val="22"/>
              </w:rPr>
              <w:t>Kontinuirana dostupnost medicinske opreme u kritičnim životnim situacijama</w:t>
            </w:r>
          </w:p>
        </w:tc>
        <w:tc>
          <w:tcPr>
            <w:tcW w:w="1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39D2D8" w14:textId="77777777" w:rsidR="00FA6BF1" w:rsidRPr="00702A1E" w:rsidRDefault="00091387">
            <w:pPr>
              <w:pStyle w:val="Standard"/>
              <w:rPr>
                <w:sz w:val="22"/>
                <w:szCs w:val="22"/>
              </w:rPr>
            </w:pPr>
            <w:r w:rsidRPr="00702A1E">
              <w:rPr>
                <w:sz w:val="22"/>
                <w:szCs w:val="22"/>
              </w:rPr>
              <w:t>Kontinuiranim održavanjem automatskih defibrilatora na javnim mjestima veće su mogućnosti spašavanja života osoba</w:t>
            </w:r>
          </w:p>
        </w:tc>
        <w:tc>
          <w:tcPr>
            <w:tcW w:w="9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5A96C4" w14:textId="77777777" w:rsidR="00FA6BF1" w:rsidRPr="00702A1E" w:rsidRDefault="00091387">
            <w:pPr>
              <w:pStyle w:val="Standard"/>
              <w:rPr>
                <w:sz w:val="22"/>
                <w:szCs w:val="22"/>
              </w:rPr>
            </w:pPr>
            <w:r w:rsidRPr="00702A1E">
              <w:rPr>
                <w:sz w:val="22"/>
                <w:szCs w:val="22"/>
              </w:rPr>
              <w:t xml:space="preserve">Broj ispravnih automatskih defibrilatora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569F11" w14:textId="43B437A0" w:rsidR="00FA6BF1" w:rsidRPr="00702A1E" w:rsidRDefault="00627A27" w:rsidP="00627A27">
            <w:pPr>
              <w:pStyle w:val="Standard"/>
              <w:jc w:val="center"/>
              <w:rPr>
                <w:sz w:val="22"/>
                <w:szCs w:val="22"/>
              </w:rPr>
            </w:pPr>
            <w:r w:rsidRPr="00702A1E">
              <w:rPr>
                <w:sz w:val="22"/>
                <w:szCs w:val="22"/>
              </w:rPr>
              <w:t>31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211C0E" w14:textId="1DD195A2" w:rsidR="00FA6BF1" w:rsidRPr="00702A1E" w:rsidRDefault="00091387" w:rsidP="00627A27">
            <w:pPr>
              <w:pStyle w:val="Standard"/>
              <w:jc w:val="center"/>
              <w:rPr>
                <w:sz w:val="22"/>
                <w:szCs w:val="22"/>
              </w:rPr>
            </w:pPr>
            <w:r w:rsidRPr="00702A1E">
              <w:rPr>
                <w:sz w:val="22"/>
                <w:szCs w:val="22"/>
              </w:rPr>
              <w:t>Z</w:t>
            </w:r>
            <w:r w:rsidR="00A43490" w:rsidRPr="00702A1E">
              <w:rPr>
                <w:sz w:val="22"/>
                <w:szCs w:val="22"/>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3E067F" w14:textId="42B299AB" w:rsidR="00FA6BF1" w:rsidRPr="00702A1E" w:rsidRDefault="00627A27" w:rsidP="00627A27">
            <w:pPr>
              <w:pStyle w:val="Standard"/>
              <w:jc w:val="center"/>
              <w:rPr>
                <w:sz w:val="22"/>
                <w:szCs w:val="22"/>
              </w:rPr>
            </w:pPr>
            <w:r w:rsidRPr="00702A1E">
              <w:rPr>
                <w:sz w:val="22"/>
                <w:szCs w:val="22"/>
              </w:rPr>
              <w:t>36</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8C25ED" w14:textId="07645053" w:rsidR="00FA6BF1" w:rsidRPr="00702A1E" w:rsidRDefault="00627A27" w:rsidP="00627A27">
            <w:pPr>
              <w:pStyle w:val="Standard"/>
              <w:jc w:val="center"/>
              <w:rPr>
                <w:sz w:val="22"/>
                <w:szCs w:val="22"/>
              </w:rPr>
            </w:pPr>
            <w:r w:rsidRPr="00702A1E">
              <w:rPr>
                <w:sz w:val="22"/>
                <w:szCs w:val="22"/>
              </w:rPr>
              <w:t>36</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97F59A" w14:textId="5D4F0DE4" w:rsidR="00FA6BF1" w:rsidRPr="00702A1E" w:rsidRDefault="00627A27" w:rsidP="00627A27">
            <w:pPr>
              <w:pStyle w:val="Standard"/>
              <w:jc w:val="center"/>
              <w:rPr>
                <w:sz w:val="22"/>
                <w:szCs w:val="22"/>
              </w:rPr>
            </w:pPr>
            <w:r w:rsidRPr="00702A1E">
              <w:rPr>
                <w:sz w:val="22"/>
                <w:szCs w:val="22"/>
              </w:rPr>
              <w:t>36</w:t>
            </w:r>
          </w:p>
        </w:tc>
      </w:tr>
    </w:tbl>
    <w:p w14:paraId="00CAA6E6" w14:textId="77777777" w:rsidR="00FA6BF1" w:rsidRPr="00702A1E" w:rsidRDefault="00FA6BF1">
      <w:pPr>
        <w:pStyle w:val="Standard"/>
        <w:rPr>
          <w:sz w:val="22"/>
          <w:szCs w:val="22"/>
        </w:rPr>
      </w:pPr>
    </w:p>
    <w:p w14:paraId="79716EE9" w14:textId="77777777" w:rsidR="00FA6BF1" w:rsidRPr="00702A1E" w:rsidRDefault="00FA6BF1">
      <w:pPr>
        <w:pStyle w:val="Standard"/>
        <w:rPr>
          <w:sz w:val="22"/>
          <w:szCs w:val="22"/>
        </w:rPr>
      </w:pPr>
    </w:p>
    <w:p w14:paraId="632E848D" w14:textId="77777777" w:rsidR="00FA6BF1" w:rsidRPr="00702A1E" w:rsidRDefault="00FA6BF1">
      <w:pPr>
        <w:pStyle w:val="Standard"/>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003"/>
        <w:gridCol w:w="4749"/>
      </w:tblGrid>
      <w:tr w:rsidR="008F06F1" w:rsidRPr="00702A1E" w14:paraId="0E02D2FC" w14:textId="77777777" w:rsidTr="003954B9">
        <w:trPr>
          <w:trHeight w:val="517"/>
        </w:trPr>
        <w:tc>
          <w:tcPr>
            <w:tcW w:w="2494" w:type="dxa"/>
            <w:shd w:val="clear" w:color="auto" w:fill="D9D9D9"/>
          </w:tcPr>
          <w:p w14:paraId="1F05EE46"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bookmarkStart w:id="2" w:name="_Hlk146884739"/>
            <w:r w:rsidRPr="00702A1E">
              <w:rPr>
                <w:rFonts w:ascii="Times New Roman" w:eastAsia="Times New Roman" w:hAnsi="Times New Roman" w:cs="Times New Roman"/>
                <w:b/>
                <w:bCs/>
                <w:color w:val="000000"/>
                <w:kern w:val="0"/>
                <w:lang w:eastAsia="hr-HR"/>
              </w:rPr>
              <w:t>Aktivnost/ Projekt:</w:t>
            </w:r>
          </w:p>
        </w:tc>
        <w:tc>
          <w:tcPr>
            <w:tcW w:w="1664" w:type="dxa"/>
            <w:shd w:val="clear" w:color="auto" w:fill="auto"/>
          </w:tcPr>
          <w:p w14:paraId="4192C0FB"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kern w:val="0"/>
              </w:rPr>
              <w:t>A003020T302001</w:t>
            </w:r>
          </w:p>
        </w:tc>
        <w:tc>
          <w:tcPr>
            <w:tcW w:w="5130" w:type="dxa"/>
            <w:shd w:val="clear" w:color="auto" w:fill="auto"/>
          </w:tcPr>
          <w:p w14:paraId="360236F3"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kern w:val="0"/>
              </w:rPr>
              <w:t>Učinkoviti ljudski potencijali – Specijalističko usavršavanje</w:t>
            </w:r>
          </w:p>
        </w:tc>
      </w:tr>
      <w:tr w:rsidR="008F06F1" w:rsidRPr="00702A1E" w14:paraId="0965CD3B" w14:textId="77777777" w:rsidTr="003954B9">
        <w:trPr>
          <w:trHeight w:val="517"/>
        </w:trPr>
        <w:tc>
          <w:tcPr>
            <w:tcW w:w="2494" w:type="dxa"/>
            <w:shd w:val="clear" w:color="auto" w:fill="D9D9D9"/>
          </w:tcPr>
          <w:p w14:paraId="1D64C4B2" w14:textId="77777777" w:rsidR="008F06F1" w:rsidRPr="00702A1E" w:rsidRDefault="008F06F1" w:rsidP="00C97AA2">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Zakonska i druga pravna osnova:</w:t>
            </w:r>
          </w:p>
        </w:tc>
        <w:tc>
          <w:tcPr>
            <w:tcW w:w="6794" w:type="dxa"/>
            <w:gridSpan w:val="2"/>
            <w:shd w:val="clear" w:color="auto" w:fill="auto"/>
          </w:tcPr>
          <w:p w14:paraId="3DDAAE84" w14:textId="77777777" w:rsidR="008F06F1" w:rsidRPr="00702A1E" w:rsidRDefault="008F06F1" w:rsidP="00C97AA2">
            <w:pPr>
              <w:widowControl/>
              <w:suppressAutoHyphens w:val="0"/>
              <w:autoSpaceDN/>
              <w:spacing w:after="0" w:line="240" w:lineRule="auto"/>
              <w:jc w:val="both"/>
              <w:rPr>
                <w:rFonts w:ascii="Times New Roman" w:eastAsia="Symbol" w:hAnsi="Times New Roman" w:cs="Times New Roman"/>
                <w:color w:val="000000"/>
                <w:kern w:val="0"/>
                <w:lang w:val="pl-PL" w:eastAsia="hr-HR"/>
              </w:rPr>
            </w:pPr>
            <w:r w:rsidRPr="00702A1E">
              <w:rPr>
                <w:rFonts w:ascii="Times New Roman" w:eastAsia="Symbol" w:hAnsi="Times New Roman" w:cs="Times New Roman"/>
                <w:kern w:val="0"/>
                <w:lang w:val="pl-PL" w:eastAsia="hr-HR"/>
              </w:rPr>
              <w:t xml:space="preserve">Zakon o zdravstvenoj zaštiti, Zakon o obveznom zdravstvenom osiguranju, Pravilnik o mjerilima za prijem specijalizanta, Pravilnik o specijalističkom usavršavanju doktora medicine, Pravilnik o proračunskom računovodstvu i računskom planu, Kolektivni ugovor za djelatnost zdravstva i zdravstvenog osiguranja, </w:t>
            </w:r>
            <w:r w:rsidRPr="00702A1E">
              <w:rPr>
                <w:rFonts w:ascii="Times New Roman" w:eastAsia="Times New Roman" w:hAnsi="Times New Roman" w:cs="Times New Roman"/>
                <w:kern w:val="0"/>
                <w:lang w:eastAsia="hr-HR"/>
              </w:rPr>
              <w:t>Odluka o financiranju projekta specijalističkog usavršavanja za djelatnosti prihvatljive za financiranje iz sredstava Europskog socijalnog fonda u okviru Operativnog programa „Učinkoviti ljudski potencijali“ za razdoblje 2014.-2020, Ugovori o dodjeli bespovratnih sredstava za projekte specijalističkog usavršavanja za 8 specijalizanata hitne medicine (UP.02.2.1.02.0056-90).</w:t>
            </w:r>
          </w:p>
        </w:tc>
      </w:tr>
      <w:tr w:rsidR="008F06F1" w:rsidRPr="00702A1E" w14:paraId="749331AC" w14:textId="77777777" w:rsidTr="003954B9">
        <w:trPr>
          <w:trHeight w:val="257"/>
        </w:trPr>
        <w:tc>
          <w:tcPr>
            <w:tcW w:w="2494" w:type="dxa"/>
            <w:shd w:val="clear" w:color="auto" w:fill="D9D9D9"/>
          </w:tcPr>
          <w:p w14:paraId="217F0AA8" w14:textId="77777777" w:rsidR="008F06F1" w:rsidRPr="00702A1E" w:rsidRDefault="008F06F1" w:rsidP="00C97AA2">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 xml:space="preserve">Opis aktivnosti / projekta </w:t>
            </w:r>
          </w:p>
        </w:tc>
        <w:tc>
          <w:tcPr>
            <w:tcW w:w="6794" w:type="dxa"/>
            <w:gridSpan w:val="2"/>
            <w:shd w:val="clear" w:color="auto" w:fill="auto"/>
          </w:tcPr>
          <w:p w14:paraId="21C887AE" w14:textId="77777777"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Cilj ovog projekta je poboljšanje pristupa uslugama zdravstvene zaštite i visokokvalitetnim uslugama hitne medicine na području Splitsko-dalmatinske županije kroz financiranje specijalističkog usavršavanja doktora medicine. </w:t>
            </w:r>
          </w:p>
          <w:p w14:paraId="2509DDFA" w14:textId="77777777"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lastRenderedPageBreak/>
              <w:t>Mrežom hitne medicine određen je broj timova hitne medicine koji treba biti uspostavljen na području Splitsko-dalmatinske županije. Sukladno standardu za popunjavanje timova potrebno je imati zaposleno 90 doktora specijalista hitne medicine. Međutim, u Zavodu je zaposleno 40 doktora specijalista hitne medicine, što znači da nedostaje 50 doktora specijalista HM odnosno 55,6 %.</w:t>
            </w:r>
          </w:p>
          <w:p w14:paraId="06958967" w14:textId="1BC967B2"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Odlukom o financiranju projekata specijalističkog usavršavanja djelatnosti prihvatljive za financiranje iz sredstava Europskog socijalnog fonda u okviru Operativnog programa „Učinkoviti ljudski potencijali“ za razdoblje 2014.-2020., Zavodu za hitnu medicinu SDŽ odobreno je 8 specijalizacija iz hitne medicine koje </w:t>
            </w:r>
            <w:r w:rsidR="00114158" w:rsidRPr="00702A1E">
              <w:rPr>
                <w:rFonts w:ascii="Times New Roman" w:eastAsia="Times New Roman" w:hAnsi="Times New Roman" w:cs="Times New Roman"/>
                <w:kern w:val="0"/>
                <w:lang w:eastAsia="hr-HR"/>
              </w:rPr>
              <w:t>su</w:t>
            </w:r>
            <w:r w:rsidRPr="00702A1E">
              <w:rPr>
                <w:rFonts w:ascii="Times New Roman" w:eastAsia="Times New Roman" w:hAnsi="Times New Roman" w:cs="Times New Roman"/>
                <w:kern w:val="0"/>
                <w:lang w:eastAsia="hr-HR"/>
              </w:rPr>
              <w:t xml:space="preserve"> financira</w:t>
            </w:r>
            <w:r w:rsidR="00114158" w:rsidRPr="00702A1E">
              <w:rPr>
                <w:rFonts w:ascii="Times New Roman" w:eastAsia="Times New Roman" w:hAnsi="Times New Roman" w:cs="Times New Roman"/>
                <w:kern w:val="0"/>
                <w:lang w:eastAsia="hr-HR"/>
              </w:rPr>
              <w:t>ne</w:t>
            </w:r>
            <w:r w:rsidRPr="00702A1E">
              <w:rPr>
                <w:rFonts w:ascii="Times New Roman" w:eastAsia="Times New Roman" w:hAnsi="Times New Roman" w:cs="Times New Roman"/>
                <w:kern w:val="0"/>
                <w:lang w:eastAsia="hr-HR"/>
              </w:rPr>
              <w:t xml:space="preserve"> 85 % iz Europskog socijalnog fonda i 15 % iz sredstava Ministarstva zdravstva. Specijalizacija iz hitne medicine traje 5 godina.</w:t>
            </w:r>
            <w:r w:rsidR="003073C2" w:rsidRPr="00702A1E">
              <w:rPr>
                <w:rFonts w:ascii="Times New Roman" w:eastAsia="Times New Roman" w:hAnsi="Times New Roman" w:cs="Times New Roman"/>
                <w:kern w:val="0"/>
                <w:lang w:eastAsia="hr-HR"/>
              </w:rPr>
              <w:t xml:space="preserve"> </w:t>
            </w:r>
          </w:p>
          <w:p w14:paraId="26699EF5" w14:textId="60A9D467" w:rsidR="003073C2" w:rsidRPr="00702A1E" w:rsidRDefault="003073C2"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U 2023.g. sedam doktora medicine položilo je specijalistički ispit te su postali specijalisti hitne medicine. Početkom 2024.g. očekuje se da će i posljednji specijalizant okončati specijalističko usavršavanje te postati specijalist hitne medicine čime će se u potpunosti ispuniti cilj ove aktivnosti.</w:t>
            </w:r>
          </w:p>
          <w:p w14:paraId="31C4F622" w14:textId="2B1CB276"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bCs/>
                <w:kern w:val="0"/>
                <w:lang w:eastAsia="hr-HR"/>
              </w:rPr>
              <w:t>Ova aktivnost, koja obuhvaća 0,</w:t>
            </w:r>
            <w:r w:rsidR="003073C2" w:rsidRPr="00702A1E">
              <w:rPr>
                <w:rFonts w:ascii="Times New Roman" w:eastAsia="Times New Roman" w:hAnsi="Times New Roman" w:cs="Times New Roman"/>
                <w:bCs/>
                <w:kern w:val="0"/>
                <w:lang w:eastAsia="hr-HR"/>
              </w:rPr>
              <w:t xml:space="preserve">04 </w:t>
            </w:r>
            <w:r w:rsidRPr="00702A1E">
              <w:rPr>
                <w:rFonts w:ascii="Times New Roman" w:eastAsia="Times New Roman" w:hAnsi="Times New Roman" w:cs="Times New Roman"/>
                <w:bCs/>
                <w:kern w:val="0"/>
                <w:lang w:eastAsia="hr-HR"/>
              </w:rPr>
              <w:t>% ukupnog plana za 202</w:t>
            </w:r>
            <w:r w:rsidR="003073C2" w:rsidRPr="00702A1E">
              <w:rPr>
                <w:rFonts w:ascii="Times New Roman" w:eastAsia="Times New Roman" w:hAnsi="Times New Roman" w:cs="Times New Roman"/>
                <w:bCs/>
                <w:kern w:val="0"/>
                <w:lang w:eastAsia="hr-HR"/>
              </w:rPr>
              <w:t>4</w:t>
            </w:r>
            <w:r w:rsidRPr="00702A1E">
              <w:rPr>
                <w:rFonts w:ascii="Times New Roman" w:eastAsia="Times New Roman" w:hAnsi="Times New Roman" w:cs="Times New Roman"/>
                <w:bCs/>
                <w:kern w:val="0"/>
                <w:lang w:eastAsia="hr-HR"/>
              </w:rPr>
              <w:t xml:space="preserve">.g. sastoji se od rashoda za zaposlene i materijalnih rashoda </w:t>
            </w:r>
            <w:r w:rsidR="003073C2" w:rsidRPr="00702A1E">
              <w:rPr>
                <w:rFonts w:ascii="Times New Roman" w:eastAsia="Times New Roman" w:hAnsi="Times New Roman" w:cs="Times New Roman"/>
                <w:bCs/>
                <w:kern w:val="0"/>
                <w:lang w:eastAsia="hr-HR"/>
              </w:rPr>
              <w:t xml:space="preserve">za jednog specijalizante </w:t>
            </w:r>
            <w:r w:rsidRPr="00702A1E">
              <w:rPr>
                <w:rFonts w:ascii="Times New Roman" w:eastAsia="Times New Roman" w:hAnsi="Times New Roman" w:cs="Times New Roman"/>
                <w:bCs/>
                <w:kern w:val="0"/>
                <w:lang w:eastAsia="hr-HR"/>
              </w:rPr>
              <w:t>koji se financiraju iz:</w:t>
            </w:r>
          </w:p>
          <w:p w14:paraId="6C23354A" w14:textId="76C70FFB" w:rsidR="008F06F1" w:rsidRPr="00702A1E" w:rsidRDefault="008F06F1" w:rsidP="00C97AA2">
            <w:pPr>
              <w:widowControl/>
              <w:numPr>
                <w:ilvl w:val="0"/>
                <w:numId w:val="12"/>
              </w:numPr>
              <w:suppressAutoHyphens w:val="0"/>
              <w:autoSpaceDN/>
              <w:spacing w:after="0" w:line="240" w:lineRule="auto"/>
              <w:jc w:val="both"/>
              <w:rPr>
                <w:rFonts w:ascii="Times New Roman" w:eastAsia="Times New Roman" w:hAnsi="Times New Roman" w:cs="Times New Roman"/>
                <w:bCs/>
                <w:kern w:val="0"/>
                <w:lang w:eastAsia="hr-HR"/>
              </w:rPr>
            </w:pPr>
            <w:r w:rsidRPr="00702A1E">
              <w:rPr>
                <w:rFonts w:ascii="Times New Roman" w:eastAsia="Times New Roman" w:hAnsi="Times New Roman" w:cs="Times New Roman"/>
                <w:bCs/>
                <w:kern w:val="0"/>
                <w:lang w:eastAsia="hr-HR"/>
              </w:rPr>
              <w:t xml:space="preserve">pomoći Ministarstva zdravstva (15%) u iznosu od </w:t>
            </w:r>
            <w:r w:rsidR="003073C2" w:rsidRPr="00702A1E">
              <w:rPr>
                <w:rFonts w:ascii="Times New Roman" w:eastAsia="Times New Roman" w:hAnsi="Times New Roman" w:cs="Times New Roman"/>
                <w:bCs/>
                <w:kern w:val="0"/>
                <w:lang w:eastAsia="hr-HR"/>
              </w:rPr>
              <w:t>1.600</w:t>
            </w:r>
            <w:r w:rsidRPr="00702A1E">
              <w:rPr>
                <w:rFonts w:ascii="Times New Roman" w:eastAsia="Times New Roman" w:hAnsi="Times New Roman" w:cs="Times New Roman"/>
                <w:bCs/>
                <w:kern w:val="0"/>
                <w:lang w:eastAsia="hr-HR"/>
              </w:rPr>
              <w:t xml:space="preserve">,00 €, </w:t>
            </w:r>
          </w:p>
          <w:p w14:paraId="1DC047E7" w14:textId="4E2F3B2C" w:rsidR="008F06F1" w:rsidRPr="00702A1E" w:rsidRDefault="008F06F1" w:rsidP="00C97AA2">
            <w:pPr>
              <w:pStyle w:val="Odlomakpopisa"/>
              <w:numPr>
                <w:ilvl w:val="0"/>
                <w:numId w:val="12"/>
              </w:numPr>
              <w:suppressAutoHyphens w:val="0"/>
              <w:autoSpaceDN/>
              <w:spacing w:after="0" w:line="240" w:lineRule="auto"/>
              <w:jc w:val="both"/>
              <w:rPr>
                <w:rFonts w:ascii="Times New Roman" w:hAnsi="Times New Roman" w:cs="Times New Roman"/>
                <w:bCs/>
                <w:color w:val="000000"/>
                <w:kern w:val="0"/>
                <w:lang w:eastAsia="hr-HR"/>
              </w:rPr>
            </w:pPr>
            <w:r w:rsidRPr="00702A1E">
              <w:rPr>
                <w:rFonts w:ascii="Times New Roman" w:hAnsi="Times New Roman" w:cs="Times New Roman"/>
                <w:bCs/>
                <w:kern w:val="0"/>
                <w:lang w:eastAsia="hr-HR"/>
              </w:rPr>
              <w:t xml:space="preserve">pomoći EU (85%) iz Europskog socijalnog fonda u iznosu od </w:t>
            </w:r>
            <w:r w:rsidR="003073C2" w:rsidRPr="00702A1E">
              <w:rPr>
                <w:rFonts w:ascii="Times New Roman" w:hAnsi="Times New Roman" w:cs="Times New Roman"/>
                <w:bCs/>
                <w:kern w:val="0"/>
                <w:lang w:eastAsia="hr-HR"/>
              </w:rPr>
              <w:t>7.900</w:t>
            </w:r>
            <w:r w:rsidRPr="00702A1E">
              <w:rPr>
                <w:rFonts w:ascii="Times New Roman" w:hAnsi="Times New Roman" w:cs="Times New Roman"/>
                <w:bCs/>
                <w:kern w:val="0"/>
                <w:lang w:eastAsia="hr-HR"/>
              </w:rPr>
              <w:t>,00 €.</w:t>
            </w:r>
          </w:p>
        </w:tc>
      </w:tr>
      <w:tr w:rsidR="008F06F1" w:rsidRPr="00702A1E" w14:paraId="6AF6E0E1" w14:textId="77777777" w:rsidTr="003954B9">
        <w:trPr>
          <w:trHeight w:val="257"/>
        </w:trPr>
        <w:tc>
          <w:tcPr>
            <w:tcW w:w="2494" w:type="dxa"/>
            <w:shd w:val="clear" w:color="auto" w:fill="D9D9D9"/>
          </w:tcPr>
          <w:p w14:paraId="4DE57BA2"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lastRenderedPageBreak/>
              <w:t>Obrazloženje izračuna financijskih sredstava</w:t>
            </w:r>
          </w:p>
        </w:tc>
        <w:tc>
          <w:tcPr>
            <w:tcW w:w="6794" w:type="dxa"/>
            <w:gridSpan w:val="2"/>
            <w:shd w:val="clear" w:color="auto" w:fill="auto"/>
          </w:tcPr>
          <w:p w14:paraId="57296AE6" w14:textId="5E4496B1" w:rsidR="008F06F1" w:rsidRPr="00702A1E" w:rsidRDefault="008F06F1" w:rsidP="00C97AA2">
            <w:pPr>
              <w:widowControl/>
              <w:suppressAutoHyphens w:val="0"/>
              <w:autoSpaceDN/>
              <w:spacing w:after="0" w:line="240" w:lineRule="auto"/>
              <w:jc w:val="both"/>
              <w:rPr>
                <w:rFonts w:ascii="Times New Roman" w:eastAsia="Times New Roman" w:hAnsi="Times New Roman" w:cs="Times New Roman"/>
                <w:bCs/>
                <w:kern w:val="0"/>
                <w:lang w:eastAsia="hr-HR"/>
              </w:rPr>
            </w:pPr>
            <w:r w:rsidRPr="00702A1E">
              <w:rPr>
                <w:rFonts w:ascii="Times New Roman" w:eastAsia="Times New Roman" w:hAnsi="Times New Roman" w:cs="Times New Roman"/>
                <w:bCs/>
                <w:kern w:val="0"/>
                <w:lang w:eastAsia="hr-HR"/>
              </w:rPr>
              <w:t>Prihodi</w:t>
            </w:r>
            <w:r w:rsidR="00327AE9" w:rsidRPr="00702A1E">
              <w:rPr>
                <w:rFonts w:ascii="Times New Roman" w:eastAsia="Times New Roman" w:hAnsi="Times New Roman" w:cs="Times New Roman"/>
                <w:bCs/>
                <w:kern w:val="0"/>
                <w:lang w:eastAsia="hr-HR"/>
              </w:rPr>
              <w:t>ma</w:t>
            </w:r>
            <w:r w:rsidRPr="00702A1E">
              <w:rPr>
                <w:rFonts w:ascii="Times New Roman" w:eastAsia="Times New Roman" w:hAnsi="Times New Roman" w:cs="Times New Roman"/>
                <w:bCs/>
                <w:kern w:val="0"/>
                <w:lang w:eastAsia="hr-HR"/>
              </w:rPr>
              <w:t xml:space="preserve"> od pomoći iz oba izvora (od Ministarstva zdravstva i od Europskog socijalnog fonda) financira</w:t>
            </w:r>
            <w:r w:rsidR="00327AE9" w:rsidRPr="00702A1E">
              <w:rPr>
                <w:rFonts w:ascii="Times New Roman" w:eastAsia="Times New Roman" w:hAnsi="Times New Roman" w:cs="Times New Roman"/>
                <w:bCs/>
                <w:kern w:val="0"/>
                <w:lang w:eastAsia="hr-HR"/>
              </w:rPr>
              <w:t xml:space="preserve">ti će se rashodi plaće jednog specijalizanta u iznosu od 9.000,00 </w:t>
            </w:r>
            <w:r w:rsidRPr="00702A1E">
              <w:rPr>
                <w:rFonts w:ascii="Times New Roman" w:eastAsia="Times New Roman" w:hAnsi="Times New Roman" w:cs="Times New Roman"/>
                <w:color w:val="000000"/>
                <w:kern w:val="0"/>
                <w:lang w:eastAsia="hr-HR"/>
              </w:rPr>
              <w:t xml:space="preserve">€ </w:t>
            </w:r>
            <w:r w:rsidR="00327AE9" w:rsidRPr="00702A1E">
              <w:rPr>
                <w:rFonts w:ascii="Times New Roman" w:eastAsia="Times New Roman" w:hAnsi="Times New Roman" w:cs="Times New Roman"/>
                <w:color w:val="000000"/>
                <w:kern w:val="0"/>
                <w:lang w:eastAsia="hr-HR"/>
              </w:rPr>
              <w:t>te materijalni rashodi u iznosu od</w:t>
            </w:r>
            <w:r w:rsidRPr="00702A1E">
              <w:rPr>
                <w:rFonts w:ascii="Times New Roman" w:eastAsia="Times New Roman" w:hAnsi="Times New Roman" w:cs="Times New Roman"/>
                <w:color w:val="000000"/>
                <w:kern w:val="0"/>
                <w:lang w:eastAsia="hr-HR"/>
              </w:rPr>
              <w:t xml:space="preserve"> 500 €.</w:t>
            </w:r>
          </w:p>
        </w:tc>
      </w:tr>
      <w:tr w:rsidR="008F06F1" w:rsidRPr="00702A1E" w14:paraId="151A201B" w14:textId="77777777" w:rsidTr="003954B9">
        <w:trPr>
          <w:trHeight w:val="257"/>
        </w:trPr>
        <w:tc>
          <w:tcPr>
            <w:tcW w:w="0" w:type="auto"/>
            <w:gridSpan w:val="3"/>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892"/>
              <w:gridCol w:w="1725"/>
              <w:gridCol w:w="1249"/>
              <w:gridCol w:w="1509"/>
              <w:gridCol w:w="1363"/>
            </w:tblGrid>
            <w:tr w:rsidR="00820E7E" w:rsidRPr="00702A1E" w14:paraId="02BDCBAB" w14:textId="77777777" w:rsidTr="00FB1800">
              <w:trPr>
                <w:trHeight w:val="219"/>
              </w:trPr>
              <w:tc>
                <w:tcPr>
                  <w:tcW w:w="0" w:type="auto"/>
                  <w:shd w:val="clear" w:color="auto" w:fill="F2F2F2"/>
                </w:tcPr>
                <w:p w14:paraId="1C1E0416" w14:textId="70A8228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hAnsi="Times New Roman" w:cs="Times New Roman"/>
                      <w:b/>
                      <w:bCs/>
                      <w:color w:val="000000"/>
                    </w:rPr>
                    <w:t>Izvršeno 2022.</w:t>
                  </w:r>
                </w:p>
              </w:tc>
              <w:tc>
                <w:tcPr>
                  <w:tcW w:w="0" w:type="auto"/>
                  <w:shd w:val="clear" w:color="auto" w:fill="F2F2F2"/>
                </w:tcPr>
                <w:p w14:paraId="468F8CA5" w14:textId="35120B39"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820E7E">
                    <w:rPr>
                      <w:rFonts w:ascii="Times New Roman" w:hAnsi="Times New Roman" w:cs="Times New Roman"/>
                      <w:b/>
                      <w:bCs/>
                      <w:color w:val="000000"/>
                    </w:rPr>
                    <w:t>Financijski plan 2023.</w:t>
                  </w:r>
                </w:p>
              </w:tc>
              <w:tc>
                <w:tcPr>
                  <w:tcW w:w="0" w:type="auto"/>
                  <w:shd w:val="clear" w:color="auto" w:fill="F2F2F2"/>
                </w:tcPr>
                <w:p w14:paraId="0C1368D1" w14:textId="4F4857B5"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820E7E">
                    <w:rPr>
                      <w:rFonts w:ascii="Times New Roman" w:hAnsi="Times New Roman" w:cs="Times New Roman"/>
                      <w:b/>
                      <w:bCs/>
                      <w:color w:val="000000"/>
                    </w:rPr>
                    <w:t>II. Rebalans 2023.€</w:t>
                  </w:r>
                </w:p>
              </w:tc>
              <w:tc>
                <w:tcPr>
                  <w:tcW w:w="1249" w:type="dxa"/>
                  <w:shd w:val="clear" w:color="auto" w:fill="F2F2F2"/>
                </w:tcPr>
                <w:p w14:paraId="5FA8C95B" w14:textId="3511B65B"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hAnsi="Times New Roman" w:cs="Times New Roman"/>
                      <w:b/>
                      <w:bCs/>
                      <w:color w:val="000000"/>
                    </w:rPr>
                    <w:t>Plan 2024.</w:t>
                  </w:r>
                </w:p>
              </w:tc>
              <w:tc>
                <w:tcPr>
                  <w:tcW w:w="1509" w:type="dxa"/>
                  <w:shd w:val="clear" w:color="auto" w:fill="F2F2F2"/>
                </w:tcPr>
                <w:p w14:paraId="69418112" w14:textId="038D8758"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hAnsi="Times New Roman" w:cs="Times New Roman"/>
                      <w:b/>
                      <w:bCs/>
                      <w:color w:val="000000"/>
                    </w:rPr>
                    <w:t>Projekcija 2025.</w:t>
                  </w:r>
                </w:p>
              </w:tc>
              <w:tc>
                <w:tcPr>
                  <w:tcW w:w="0" w:type="auto"/>
                  <w:shd w:val="clear" w:color="auto" w:fill="F2F2F2"/>
                </w:tcPr>
                <w:p w14:paraId="110187A7" w14:textId="678DFCFA"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hAnsi="Times New Roman" w:cs="Times New Roman"/>
                      <w:b/>
                      <w:bCs/>
                      <w:color w:val="000000"/>
                    </w:rPr>
                    <w:t>Projekcija 2026.</w:t>
                  </w:r>
                </w:p>
              </w:tc>
            </w:tr>
            <w:tr w:rsidR="00820E7E" w:rsidRPr="00702A1E" w14:paraId="065438EE" w14:textId="77777777" w:rsidTr="00FB1800">
              <w:trPr>
                <w:trHeight w:val="2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3B02DD" w14:textId="3F49BF9F"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277.024,84 €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9A46A" w14:textId="7893D898"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178.777,62 €</w:t>
                  </w:r>
                </w:p>
              </w:tc>
              <w:tc>
                <w:tcPr>
                  <w:tcW w:w="0" w:type="auto"/>
                  <w:tcBorders>
                    <w:top w:val="single" w:sz="4" w:space="0" w:color="auto"/>
                    <w:left w:val="single" w:sz="4" w:space="0" w:color="auto"/>
                    <w:bottom w:val="single" w:sz="4" w:space="0" w:color="auto"/>
                    <w:right w:val="single" w:sz="4" w:space="0" w:color="auto"/>
                  </w:tcBorders>
                </w:tcPr>
                <w:p w14:paraId="7E5555F7" w14:textId="5525369A" w:rsidR="00820E7E" w:rsidRPr="00702A1E" w:rsidRDefault="00487224"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Pr>
                      <w:rFonts w:ascii="Times New Roman" w:eastAsia="Times New Roman" w:hAnsi="Times New Roman" w:cs="Times New Roman"/>
                      <w:b/>
                      <w:bCs/>
                      <w:color w:val="000000"/>
                      <w:kern w:val="0"/>
                      <w:lang w:eastAsia="hr-HR"/>
                    </w:rPr>
                    <w:t>210.000,00</w:t>
                  </w:r>
                  <w:r w:rsidR="00820E7E" w:rsidRPr="00702A1E">
                    <w:rPr>
                      <w:rFonts w:ascii="Times New Roman" w:eastAsia="Times New Roman" w:hAnsi="Times New Roman" w:cs="Times New Roman"/>
                      <w:b/>
                      <w:bCs/>
                      <w:color w:val="000000"/>
                      <w:kern w:val="0"/>
                      <w:lang w:eastAsia="hr-HR"/>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CFCE4E" w14:textId="5016E733"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9.500,00</w:t>
                  </w:r>
                  <w:r>
                    <w:rPr>
                      <w:rFonts w:ascii="Times New Roman" w:eastAsia="Times New Roman" w:hAnsi="Times New Roman" w:cs="Times New Roman"/>
                      <w:b/>
                      <w:bCs/>
                      <w:color w:val="000000"/>
                      <w:kern w:val="0"/>
                      <w:lang w:eastAsia="hr-HR"/>
                    </w:rPr>
                    <w:t xml:space="preserve"> </w:t>
                  </w:r>
                  <w:r w:rsidRPr="00702A1E">
                    <w:rPr>
                      <w:rFonts w:ascii="Times New Roman" w:eastAsia="Times New Roman" w:hAnsi="Times New Roman" w:cs="Times New Roman"/>
                      <w:b/>
                      <w:bCs/>
                      <w:color w:val="000000"/>
                      <w:kern w:val="0"/>
                      <w:lang w:eastAsia="hr-HR"/>
                    </w:rPr>
                    <w:t>€</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012A5DA2" w14:textId="7D55F7D4"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0,00</w:t>
                  </w:r>
                  <w:r>
                    <w:rPr>
                      <w:rFonts w:ascii="Times New Roman" w:eastAsia="Times New Roman" w:hAnsi="Times New Roman" w:cs="Times New Roman"/>
                      <w:b/>
                      <w:bCs/>
                      <w:color w:val="000000"/>
                      <w:kern w:val="0"/>
                      <w:lang w:eastAsia="hr-HR"/>
                    </w:rPr>
                    <w:t xml:space="preserve"> </w:t>
                  </w:r>
                  <w:r w:rsidRPr="00702A1E">
                    <w:rPr>
                      <w:rFonts w:ascii="Times New Roman" w:eastAsia="Times New Roman" w:hAnsi="Times New Roman" w:cs="Times New Roman"/>
                      <w:b/>
                      <w:bCs/>
                      <w:color w:val="000000"/>
                      <w:kern w:val="0"/>
                      <w:lang w:eastAsia="hr-H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6B46A" w14:textId="6611786C"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kern w:val="0"/>
                      <w:lang w:eastAsia="hr-HR"/>
                    </w:rPr>
                  </w:pPr>
                  <w:r w:rsidRPr="00702A1E">
                    <w:rPr>
                      <w:rFonts w:ascii="Times New Roman" w:eastAsia="Times New Roman" w:hAnsi="Times New Roman" w:cs="Times New Roman"/>
                      <w:b/>
                      <w:bCs/>
                      <w:color w:val="000000"/>
                      <w:kern w:val="0"/>
                      <w:lang w:eastAsia="hr-HR"/>
                    </w:rPr>
                    <w:t>0,00</w:t>
                  </w:r>
                  <w:r>
                    <w:rPr>
                      <w:rFonts w:ascii="Times New Roman" w:eastAsia="Times New Roman" w:hAnsi="Times New Roman" w:cs="Times New Roman"/>
                      <w:b/>
                      <w:bCs/>
                      <w:color w:val="000000"/>
                      <w:kern w:val="0"/>
                      <w:lang w:eastAsia="hr-HR"/>
                    </w:rPr>
                    <w:t xml:space="preserve"> </w:t>
                  </w:r>
                  <w:r w:rsidRPr="00702A1E">
                    <w:rPr>
                      <w:rFonts w:ascii="Times New Roman" w:eastAsia="Times New Roman" w:hAnsi="Times New Roman" w:cs="Times New Roman"/>
                      <w:b/>
                      <w:bCs/>
                      <w:color w:val="000000"/>
                      <w:kern w:val="0"/>
                      <w:lang w:eastAsia="hr-HR"/>
                    </w:rPr>
                    <w:t>€</w:t>
                  </w:r>
                </w:p>
              </w:tc>
            </w:tr>
          </w:tbl>
          <w:p w14:paraId="6818A90C"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Cs/>
                <w:color w:val="000000"/>
                <w:kern w:val="0"/>
                <w:lang w:eastAsia="hr-HR"/>
              </w:rPr>
            </w:pPr>
          </w:p>
        </w:tc>
      </w:tr>
      <w:tr w:rsidR="008F06F1" w:rsidRPr="00702A1E" w14:paraId="5643B049" w14:textId="77777777" w:rsidTr="003954B9">
        <w:trPr>
          <w:trHeight w:val="257"/>
        </w:trPr>
        <w:tc>
          <w:tcPr>
            <w:tcW w:w="2494" w:type="dxa"/>
            <w:shd w:val="clear" w:color="auto" w:fill="D9D9D9"/>
          </w:tcPr>
          <w:p w14:paraId="264E711F"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color w:val="000000"/>
                <w:kern w:val="0"/>
                <w:lang w:eastAsia="hr-HR"/>
              </w:rPr>
              <w:t>Obrazloženja odstupanja od projekcija za 2024. i 2025. usvojenih u prošlogodišnjem Proračunu</w:t>
            </w:r>
          </w:p>
        </w:tc>
        <w:tc>
          <w:tcPr>
            <w:tcW w:w="6794" w:type="dxa"/>
            <w:gridSpan w:val="2"/>
            <w:shd w:val="clear" w:color="auto" w:fill="auto"/>
          </w:tcPr>
          <w:p w14:paraId="2A56666A" w14:textId="505B7807" w:rsidR="008F06F1" w:rsidRPr="00702A1E" w:rsidRDefault="008F06F1" w:rsidP="00C97AA2">
            <w:pPr>
              <w:widowControl/>
              <w:suppressLineNumbers/>
              <w:spacing w:after="0" w:line="240" w:lineRule="auto"/>
              <w:jc w:val="both"/>
              <w:rPr>
                <w:rFonts w:ascii="Times New Roman" w:eastAsia="Times New Roman" w:hAnsi="Times New Roman" w:cs="Times New Roman"/>
                <w:kern w:val="0"/>
                <w:lang w:eastAsia="ar-SA"/>
              </w:rPr>
            </w:pPr>
            <w:r w:rsidRPr="00702A1E">
              <w:rPr>
                <w:rFonts w:ascii="Times New Roman" w:eastAsia="Times New Roman" w:hAnsi="Times New Roman" w:cs="Times New Roman"/>
                <w:kern w:val="0"/>
                <w:lang w:eastAsia="ar-SA"/>
              </w:rPr>
              <w:t xml:space="preserve">Planirani iznos aktivnosti za 2024.g. je za 59,1% veći od projekcije u prošlogodišnjem planu zbog toga što svi specijalizanti neće završiti specijalizaciju u 2023.god. kako je bilo planirano, već će završne aktivnosti specijalističkog usavršavanja (izvršenje programa specijalističkog usavršavanja do polaganja specijalističkog ispita) realizirati tijekom </w:t>
            </w:r>
            <w:r w:rsidR="00091387" w:rsidRPr="00702A1E">
              <w:rPr>
                <w:rFonts w:ascii="Times New Roman" w:eastAsia="Times New Roman" w:hAnsi="Times New Roman" w:cs="Times New Roman"/>
                <w:kern w:val="0"/>
                <w:lang w:eastAsia="ar-SA"/>
              </w:rPr>
              <w:t xml:space="preserve"> </w:t>
            </w:r>
            <w:r w:rsidRPr="00702A1E">
              <w:rPr>
                <w:rFonts w:ascii="Times New Roman" w:eastAsia="Times New Roman" w:hAnsi="Times New Roman" w:cs="Times New Roman"/>
                <w:kern w:val="0"/>
                <w:lang w:eastAsia="ar-SA"/>
              </w:rPr>
              <w:t xml:space="preserve">2024.godine. </w:t>
            </w:r>
          </w:p>
          <w:p w14:paraId="4FA3B42B" w14:textId="77777777" w:rsidR="008F06F1" w:rsidRPr="00702A1E" w:rsidRDefault="008F06F1" w:rsidP="00C97AA2">
            <w:pPr>
              <w:widowControl/>
              <w:suppressAutoHyphens w:val="0"/>
              <w:autoSpaceDN/>
              <w:spacing w:after="0" w:line="240" w:lineRule="auto"/>
              <w:rPr>
                <w:rFonts w:ascii="Times New Roman" w:eastAsia="Times New Roman" w:hAnsi="Times New Roman" w:cs="Times New Roman"/>
                <w:bCs/>
                <w:color w:val="000000"/>
                <w:kern w:val="0"/>
                <w:lang w:eastAsia="hr-HR"/>
              </w:rPr>
            </w:pPr>
          </w:p>
        </w:tc>
      </w:tr>
      <w:bookmarkEnd w:id="2"/>
    </w:tbl>
    <w:p w14:paraId="3620965B" w14:textId="77777777" w:rsidR="00FA6BF1" w:rsidRPr="00702A1E" w:rsidRDefault="00FA6BF1">
      <w:pPr>
        <w:pStyle w:val="Standard"/>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2756"/>
        <w:gridCol w:w="915"/>
        <w:gridCol w:w="943"/>
        <w:gridCol w:w="763"/>
        <w:gridCol w:w="937"/>
        <w:gridCol w:w="937"/>
        <w:gridCol w:w="937"/>
      </w:tblGrid>
      <w:tr w:rsidR="008F06F1" w:rsidRPr="00702A1E" w14:paraId="2F50069C" w14:textId="77777777" w:rsidTr="003954B9">
        <w:trPr>
          <w:trHeight w:val="651"/>
        </w:trPr>
        <w:tc>
          <w:tcPr>
            <w:tcW w:w="0" w:type="auto"/>
            <w:shd w:val="clear" w:color="auto" w:fill="D9D9D9"/>
          </w:tcPr>
          <w:p w14:paraId="10C40A97"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Pokazatelj rezultata</w:t>
            </w:r>
          </w:p>
        </w:tc>
        <w:tc>
          <w:tcPr>
            <w:tcW w:w="0" w:type="auto"/>
            <w:shd w:val="clear" w:color="auto" w:fill="D9D9D9"/>
          </w:tcPr>
          <w:p w14:paraId="4BD6F428" w14:textId="77777777" w:rsidR="008F06F1" w:rsidRPr="00702A1E" w:rsidRDefault="008F06F1" w:rsidP="008F06F1">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Definicija</w:t>
            </w:r>
          </w:p>
        </w:tc>
        <w:tc>
          <w:tcPr>
            <w:tcW w:w="0" w:type="auto"/>
            <w:shd w:val="clear" w:color="auto" w:fill="D9D9D9"/>
          </w:tcPr>
          <w:p w14:paraId="1061904E" w14:textId="77777777" w:rsidR="008F06F1" w:rsidRPr="00702A1E" w:rsidRDefault="008F06F1" w:rsidP="008F06F1">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Jedinica</w:t>
            </w:r>
          </w:p>
        </w:tc>
        <w:tc>
          <w:tcPr>
            <w:tcW w:w="0" w:type="auto"/>
            <w:shd w:val="clear" w:color="auto" w:fill="D9D9D9"/>
          </w:tcPr>
          <w:p w14:paraId="09E9B7C9" w14:textId="77777777" w:rsidR="008F06F1" w:rsidRPr="00702A1E" w:rsidRDefault="008F06F1" w:rsidP="008F06F1">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Polazna vrijednost 2023.</w:t>
            </w:r>
          </w:p>
        </w:tc>
        <w:tc>
          <w:tcPr>
            <w:tcW w:w="0" w:type="auto"/>
            <w:shd w:val="clear" w:color="auto" w:fill="D9D9D9"/>
          </w:tcPr>
          <w:p w14:paraId="663C5D61" w14:textId="77777777" w:rsidR="008F06F1" w:rsidRPr="00702A1E" w:rsidRDefault="008F06F1" w:rsidP="008F06F1">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Izvor podataka</w:t>
            </w:r>
          </w:p>
        </w:tc>
        <w:tc>
          <w:tcPr>
            <w:tcW w:w="0" w:type="auto"/>
            <w:shd w:val="clear" w:color="auto" w:fill="D9D9D9"/>
          </w:tcPr>
          <w:p w14:paraId="34D73764" w14:textId="77777777" w:rsidR="008F06F1" w:rsidRPr="00702A1E" w:rsidRDefault="008F06F1" w:rsidP="008F06F1">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2024.</w:t>
            </w:r>
          </w:p>
        </w:tc>
        <w:tc>
          <w:tcPr>
            <w:tcW w:w="0" w:type="auto"/>
            <w:shd w:val="clear" w:color="auto" w:fill="D9D9D9"/>
          </w:tcPr>
          <w:p w14:paraId="3F74D969" w14:textId="77777777" w:rsidR="008F06F1" w:rsidRPr="00702A1E" w:rsidRDefault="008F06F1" w:rsidP="008F06F1">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2025.</w:t>
            </w:r>
          </w:p>
        </w:tc>
        <w:tc>
          <w:tcPr>
            <w:tcW w:w="0" w:type="auto"/>
            <w:shd w:val="clear" w:color="auto" w:fill="D9D9D9"/>
          </w:tcPr>
          <w:p w14:paraId="00C56212" w14:textId="77777777" w:rsidR="008F06F1" w:rsidRPr="00702A1E" w:rsidRDefault="008F06F1" w:rsidP="008F06F1">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2026.</w:t>
            </w:r>
          </w:p>
        </w:tc>
      </w:tr>
      <w:tr w:rsidR="008F06F1" w:rsidRPr="00702A1E" w14:paraId="032B0810" w14:textId="77777777" w:rsidTr="003954B9">
        <w:trPr>
          <w:trHeight w:val="219"/>
        </w:trPr>
        <w:tc>
          <w:tcPr>
            <w:tcW w:w="0" w:type="auto"/>
            <w:shd w:val="clear" w:color="auto" w:fill="auto"/>
          </w:tcPr>
          <w:p w14:paraId="2C1A5FBF"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Povećanje broja doktora specijalista hitne medicine </w:t>
            </w:r>
          </w:p>
        </w:tc>
        <w:tc>
          <w:tcPr>
            <w:tcW w:w="0" w:type="auto"/>
            <w:shd w:val="clear" w:color="auto" w:fill="auto"/>
          </w:tcPr>
          <w:p w14:paraId="0AD7F5E6"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Specijalizacijom doktora hitne medicine izravno se doprinosi većem broju medicinskih stručnjaka i boljoj pokrivenosti zdravstvenim uslugama te kvalitetnijoj usluzi hitne medicine</w:t>
            </w:r>
          </w:p>
        </w:tc>
        <w:tc>
          <w:tcPr>
            <w:tcW w:w="0" w:type="auto"/>
          </w:tcPr>
          <w:p w14:paraId="1A0129AC"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Broj specijalista hitne medicine</w:t>
            </w:r>
          </w:p>
        </w:tc>
        <w:tc>
          <w:tcPr>
            <w:tcW w:w="0" w:type="auto"/>
            <w:shd w:val="clear" w:color="auto" w:fill="auto"/>
          </w:tcPr>
          <w:p w14:paraId="39A874A7"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40</w:t>
            </w:r>
          </w:p>
        </w:tc>
        <w:tc>
          <w:tcPr>
            <w:tcW w:w="0" w:type="auto"/>
          </w:tcPr>
          <w:p w14:paraId="0E8FFF9A" w14:textId="77777777" w:rsidR="008F06F1" w:rsidRPr="00572DD5" w:rsidRDefault="008F06F1" w:rsidP="008F06F1">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572DD5">
              <w:rPr>
                <w:rFonts w:ascii="Times New Roman" w:eastAsia="Times New Roman" w:hAnsi="Times New Roman" w:cs="Times New Roman"/>
                <w:kern w:val="0"/>
                <w:sz w:val="20"/>
                <w:szCs w:val="20"/>
                <w:lang w:eastAsia="hr-HR"/>
              </w:rPr>
              <w:t>Zavod</w:t>
            </w:r>
          </w:p>
        </w:tc>
        <w:tc>
          <w:tcPr>
            <w:tcW w:w="0" w:type="auto"/>
            <w:shd w:val="clear" w:color="auto" w:fill="auto"/>
          </w:tcPr>
          <w:p w14:paraId="454D7955"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41</w:t>
            </w:r>
          </w:p>
        </w:tc>
        <w:tc>
          <w:tcPr>
            <w:tcW w:w="0" w:type="auto"/>
            <w:shd w:val="clear" w:color="auto" w:fill="auto"/>
          </w:tcPr>
          <w:p w14:paraId="4834892C"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41</w:t>
            </w:r>
          </w:p>
        </w:tc>
        <w:tc>
          <w:tcPr>
            <w:tcW w:w="0" w:type="auto"/>
            <w:shd w:val="clear" w:color="auto" w:fill="auto"/>
          </w:tcPr>
          <w:p w14:paraId="227F27EA"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41</w:t>
            </w:r>
          </w:p>
        </w:tc>
      </w:tr>
    </w:tbl>
    <w:p w14:paraId="0343485B" w14:textId="77777777" w:rsidR="008F06F1" w:rsidRPr="00702A1E" w:rsidRDefault="008F06F1">
      <w:pPr>
        <w:pStyle w:val="Standard"/>
        <w:rPr>
          <w:sz w:val="22"/>
          <w:szCs w:val="22"/>
        </w:rPr>
      </w:pPr>
    </w:p>
    <w:p w14:paraId="4EC8B295" w14:textId="77777777" w:rsidR="008F06F1" w:rsidRPr="00702A1E" w:rsidRDefault="008F06F1">
      <w:pPr>
        <w:pStyle w:val="Standard"/>
        <w:rPr>
          <w:sz w:val="22"/>
          <w:szCs w:val="22"/>
        </w:rPr>
      </w:pPr>
    </w:p>
    <w:tbl>
      <w:tblPr>
        <w:tblW w:w="9402" w:type="dxa"/>
        <w:tblInd w:w="-108" w:type="dxa"/>
        <w:tblLayout w:type="fixed"/>
        <w:tblCellMar>
          <w:left w:w="10" w:type="dxa"/>
          <w:right w:w="10" w:type="dxa"/>
        </w:tblCellMar>
        <w:tblLook w:val="04A0" w:firstRow="1" w:lastRow="0" w:firstColumn="1" w:lastColumn="0" w:noHBand="0" w:noVBand="1"/>
      </w:tblPr>
      <w:tblGrid>
        <w:gridCol w:w="1176"/>
        <w:gridCol w:w="1904"/>
        <w:gridCol w:w="6322"/>
      </w:tblGrid>
      <w:tr w:rsidR="00FA6BF1" w:rsidRPr="00702A1E" w14:paraId="43941B28" w14:textId="77777777" w:rsidTr="00FB1800">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AC0B8C5"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Aktivnost/ Projekt:</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75C5F3" w14:textId="4AE73A7C" w:rsidR="00FA6BF1" w:rsidRPr="00702A1E" w:rsidRDefault="00B1622B">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A003020T302003</w:t>
            </w:r>
          </w:p>
        </w:tc>
        <w:tc>
          <w:tcPr>
            <w:tcW w:w="6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7AA7C" w14:textId="77777777" w:rsidR="00FA6BF1" w:rsidRPr="00702A1E" w:rsidRDefault="00091387">
            <w:pPr>
              <w:widowControl/>
              <w:spacing w:after="0" w:line="240" w:lineRule="auto"/>
              <w:textAlignment w:val="baseline"/>
              <w:rPr>
                <w:rFonts w:ascii="Times New Roman" w:eastAsia="Times New Roman" w:hAnsi="Times New Roman" w:cs="Times New Roman"/>
                <w:b/>
                <w:bCs/>
                <w:lang w:eastAsia="hr-HR"/>
              </w:rPr>
            </w:pPr>
            <w:r w:rsidRPr="00702A1E">
              <w:rPr>
                <w:rFonts w:ascii="Times New Roman" w:eastAsia="Times New Roman" w:hAnsi="Times New Roman" w:cs="Times New Roman"/>
                <w:b/>
                <w:bCs/>
                <w:lang w:eastAsia="hr-HR"/>
              </w:rPr>
              <w:t>COVID-19</w:t>
            </w:r>
          </w:p>
        </w:tc>
      </w:tr>
      <w:tr w:rsidR="00FA6BF1" w:rsidRPr="00702A1E" w14:paraId="20E9AD3C" w14:textId="77777777">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3E2ABA5"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 xml:space="preserve">Zakonska i druga </w:t>
            </w:r>
            <w:r w:rsidRPr="00702A1E">
              <w:rPr>
                <w:rFonts w:ascii="Times New Roman" w:eastAsia="Times New Roman" w:hAnsi="Times New Roman" w:cs="Times New Roman"/>
                <w:b/>
                <w:bCs/>
                <w:color w:val="000000"/>
                <w:lang w:eastAsia="hr-HR"/>
              </w:rPr>
              <w:lastRenderedPageBreak/>
              <w:t>pravna osnova: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DF91D0" w14:textId="3211D64B" w:rsidR="00FA6BF1" w:rsidRPr="00702A1E" w:rsidRDefault="00091387" w:rsidP="00C97AA2">
            <w:pPr>
              <w:widowControl/>
              <w:spacing w:after="0" w:line="240" w:lineRule="auto"/>
              <w:jc w:val="both"/>
              <w:rPr>
                <w:rFonts w:ascii="Times New Roman" w:eastAsia="Times New Roman" w:hAnsi="Times New Roman" w:cs="Times New Roman"/>
                <w:kern w:val="0"/>
                <w:lang w:eastAsia="ar-SA"/>
              </w:rPr>
            </w:pPr>
            <w:r w:rsidRPr="00702A1E">
              <w:rPr>
                <w:rFonts w:ascii="Times New Roman" w:eastAsia="Times New Roman" w:hAnsi="Times New Roman" w:cs="Times New Roman"/>
                <w:kern w:val="0"/>
                <w:lang w:eastAsia="ar-SA"/>
              </w:rPr>
              <w:lastRenderedPageBreak/>
              <w:t xml:space="preserve">Zakon o zdravstvenoj zaštiti, Zakon o obveznom zdravstvenom osiguranju, Zakon o zaštiti pučanstva od zaraznih bolesti, Odluka </w:t>
            </w:r>
            <w:r w:rsidR="00C31B31" w:rsidRPr="00702A1E">
              <w:rPr>
                <w:rFonts w:ascii="Times New Roman" w:eastAsia="Times New Roman" w:hAnsi="Times New Roman" w:cs="Times New Roman"/>
                <w:kern w:val="0"/>
                <w:lang w:eastAsia="ar-SA"/>
              </w:rPr>
              <w:t xml:space="preserve">o posebnoj nagradi radnicima u sustavu zdravstva </w:t>
            </w:r>
            <w:r w:rsidR="00C31B31" w:rsidRPr="00702A1E">
              <w:rPr>
                <w:rFonts w:ascii="Times New Roman" w:eastAsia="Times New Roman" w:hAnsi="Times New Roman" w:cs="Times New Roman"/>
                <w:kern w:val="0"/>
                <w:lang w:eastAsia="ar-SA"/>
              </w:rPr>
              <w:lastRenderedPageBreak/>
              <w:t xml:space="preserve">koji obavljaju poslove vezane za pružanje zdravstvene skrbi pacijentima oboljelima od bolesti COVID-19 (Odluka </w:t>
            </w:r>
            <w:r w:rsidRPr="00702A1E">
              <w:rPr>
                <w:rFonts w:ascii="Times New Roman" w:eastAsia="Times New Roman" w:hAnsi="Times New Roman" w:cs="Times New Roman"/>
                <w:kern w:val="0"/>
                <w:lang w:eastAsia="ar-SA"/>
              </w:rPr>
              <w:t>Vlade RH</w:t>
            </w:r>
            <w:r w:rsidR="00C31B31" w:rsidRPr="00702A1E">
              <w:rPr>
                <w:rFonts w:ascii="Times New Roman" w:eastAsia="Times New Roman" w:hAnsi="Times New Roman" w:cs="Times New Roman"/>
                <w:kern w:val="0"/>
                <w:lang w:eastAsia="ar-SA"/>
              </w:rPr>
              <w:t>)</w:t>
            </w:r>
            <w:r w:rsidRPr="00702A1E">
              <w:rPr>
                <w:rFonts w:ascii="Times New Roman" w:eastAsia="Times New Roman" w:hAnsi="Times New Roman" w:cs="Times New Roman"/>
                <w:kern w:val="0"/>
                <w:lang w:eastAsia="ar-SA"/>
              </w:rPr>
              <w:t xml:space="preserve">, Uputa </w:t>
            </w:r>
            <w:r w:rsidR="00B0391B" w:rsidRPr="00702A1E">
              <w:rPr>
                <w:rFonts w:ascii="Times New Roman" w:eastAsia="Times New Roman" w:hAnsi="Times New Roman" w:cs="Times New Roman"/>
                <w:kern w:val="0"/>
                <w:lang w:eastAsia="ar-SA"/>
              </w:rPr>
              <w:t>u vezi ostvarivanja prava iz radnog odnosa radnika u sustavu zdravstva za vrijeme trajanja epidemije bolesti COVID-19 (Uputa Ministra zdravstva od 02.04.2020.g.)</w:t>
            </w:r>
          </w:p>
        </w:tc>
      </w:tr>
      <w:tr w:rsidR="00FA6BF1" w:rsidRPr="00702A1E" w14:paraId="0C3EA659"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FA79403" w14:textId="77777777" w:rsidR="00FA6BF1" w:rsidRPr="00702A1E" w:rsidRDefault="00091387" w:rsidP="00C97AA2">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lastRenderedPageBreak/>
              <w:t>Opis aktivnosti / projekta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E6204B" w14:textId="6A38E271" w:rsidR="00FA6BF1" w:rsidRPr="00702A1E" w:rsidRDefault="00091387" w:rsidP="00C97AA2">
            <w:pPr>
              <w:widowControl/>
              <w:spacing w:after="0" w:line="240" w:lineRule="auto"/>
              <w:jc w:val="both"/>
              <w:rPr>
                <w:rFonts w:ascii="Times New Roman" w:eastAsia="Times New Roman" w:hAnsi="Times New Roman" w:cs="Times New Roman"/>
                <w:bCs/>
                <w:color w:val="000000"/>
                <w:kern w:val="0"/>
                <w:lang w:eastAsia="ar-SA"/>
              </w:rPr>
            </w:pPr>
            <w:r w:rsidRPr="00702A1E">
              <w:rPr>
                <w:rFonts w:ascii="Times New Roman" w:eastAsia="Times New Roman" w:hAnsi="Times New Roman" w:cs="Times New Roman"/>
                <w:bCs/>
                <w:color w:val="000000"/>
                <w:kern w:val="0"/>
                <w:lang w:eastAsia="ar-SA"/>
              </w:rPr>
              <w:t xml:space="preserve">U ožujku 2020.g. proglašena je pandemija bolesti COVID-19. U svrhu sprječavanja širenja pandemije i zaštite zaposlenika potrebno je nabaviti zaštitnu opremu (rukavice, maske, kombinezone, sredstava za dezinfekciju i sl.) te provoditi dezinfekciju prostorija, opreme i vozila. </w:t>
            </w:r>
          </w:p>
          <w:p w14:paraId="097191A0" w14:textId="77777777" w:rsidR="00FA6BF1" w:rsidRPr="00702A1E" w:rsidRDefault="00FA6BF1" w:rsidP="00C97AA2">
            <w:pPr>
              <w:widowControl/>
              <w:spacing w:after="0" w:line="240" w:lineRule="auto"/>
              <w:jc w:val="both"/>
              <w:rPr>
                <w:rFonts w:ascii="Times New Roman" w:hAnsi="Times New Roman" w:cs="Times New Roman"/>
              </w:rPr>
            </w:pPr>
          </w:p>
          <w:p w14:paraId="64EC5953" w14:textId="77777777" w:rsidR="00FA6BF1" w:rsidRPr="00702A1E" w:rsidRDefault="00091387" w:rsidP="00C97AA2">
            <w:pPr>
              <w:widowControl/>
              <w:spacing w:after="0" w:line="240" w:lineRule="auto"/>
              <w:jc w:val="both"/>
              <w:rPr>
                <w:rFonts w:ascii="Times New Roman" w:hAnsi="Times New Roman" w:cs="Times New Roman"/>
              </w:rPr>
            </w:pPr>
            <w:r w:rsidRPr="00702A1E">
              <w:rPr>
                <w:rFonts w:ascii="Times New Roman" w:eastAsia="Times New Roman" w:hAnsi="Times New Roman" w:cs="Times New Roman"/>
                <w:bCs/>
                <w:color w:val="000000"/>
                <w:kern w:val="0"/>
                <w:lang w:eastAsia="ar-SA"/>
              </w:rPr>
              <w:t xml:space="preserve">U okviru ovog projekta planiraju se i sredstva za </w:t>
            </w:r>
            <w:r w:rsidRPr="00702A1E">
              <w:rPr>
                <w:rFonts w:ascii="Times New Roman" w:eastAsia="Times New Roman" w:hAnsi="Times New Roman" w:cs="Times New Roman"/>
                <w:kern w:val="0"/>
                <w:lang w:eastAsia="ar-SA"/>
              </w:rPr>
              <w:t xml:space="preserve">posebnu nagradu radnicima u sustavu zdravstva koji obavljaju poslove vezane za pružanje zdravstvene skrbi pacijentima oboljelima od bolesti Covid-19 sukladno odluci Vlade RH (NN 136/2020) te  sredstava za isplatu naknade za samoizolaciju zaposlenika zbog Covida-19 koji su sa zaraženom osobom ostvarili kontakt na radnom mjestu (sukladno odluci Ministra zdravstva radnicima koji su u samoizolaciji zbog kontakta sa zaraženom osobom na radnom mjestu treba isplatiti naknadu plaće u visini prosječne plaće koja im je isplaćena u prethodna tri mjeseca). </w:t>
            </w:r>
          </w:p>
          <w:p w14:paraId="5A2BB9D0" w14:textId="77777777" w:rsidR="00FA6BF1" w:rsidRPr="00702A1E" w:rsidRDefault="00FA6BF1" w:rsidP="00C97AA2">
            <w:pPr>
              <w:widowControl/>
              <w:spacing w:after="0" w:line="240" w:lineRule="auto"/>
              <w:jc w:val="both"/>
              <w:rPr>
                <w:rFonts w:ascii="Times New Roman" w:eastAsia="Times New Roman" w:hAnsi="Times New Roman" w:cs="Times New Roman"/>
                <w:kern w:val="0"/>
                <w:lang w:eastAsia="ar-SA"/>
              </w:rPr>
            </w:pPr>
          </w:p>
          <w:p w14:paraId="5A8459A5" w14:textId="4A5E083D" w:rsidR="00FA6BF1" w:rsidRPr="00702A1E" w:rsidRDefault="00091387" w:rsidP="00C97AA2">
            <w:pPr>
              <w:spacing w:line="240" w:lineRule="auto"/>
              <w:jc w:val="both"/>
              <w:rPr>
                <w:rFonts w:ascii="Times New Roman" w:hAnsi="Times New Roman" w:cs="Times New Roman"/>
                <w:bCs/>
              </w:rPr>
            </w:pPr>
            <w:r w:rsidRPr="00702A1E">
              <w:rPr>
                <w:rFonts w:ascii="Times New Roman" w:hAnsi="Times New Roman" w:cs="Times New Roman"/>
                <w:bCs/>
              </w:rPr>
              <w:t xml:space="preserve">Ova </w:t>
            </w:r>
            <w:r w:rsidR="00A744DD" w:rsidRPr="00702A1E">
              <w:rPr>
                <w:rFonts w:ascii="Times New Roman" w:hAnsi="Times New Roman" w:cs="Times New Roman"/>
                <w:bCs/>
              </w:rPr>
              <w:t>a</w:t>
            </w:r>
            <w:r w:rsidRPr="00702A1E">
              <w:rPr>
                <w:rFonts w:ascii="Times New Roman" w:hAnsi="Times New Roman" w:cs="Times New Roman"/>
                <w:bCs/>
              </w:rPr>
              <w:t>ktivnost, koja obuhvaća 3,</w:t>
            </w:r>
            <w:r w:rsidR="00327AE9" w:rsidRPr="00702A1E">
              <w:rPr>
                <w:rFonts w:ascii="Times New Roman" w:hAnsi="Times New Roman" w:cs="Times New Roman"/>
                <w:bCs/>
              </w:rPr>
              <w:t>1</w:t>
            </w:r>
            <w:r w:rsidRPr="00702A1E">
              <w:rPr>
                <w:rFonts w:ascii="Times New Roman" w:hAnsi="Times New Roman" w:cs="Times New Roman"/>
                <w:bCs/>
              </w:rPr>
              <w:t xml:space="preserve"> % ukupnog plana za 202</w:t>
            </w:r>
            <w:r w:rsidR="00327AE9" w:rsidRPr="00702A1E">
              <w:rPr>
                <w:rFonts w:ascii="Times New Roman" w:hAnsi="Times New Roman" w:cs="Times New Roman"/>
                <w:bCs/>
              </w:rPr>
              <w:t>4</w:t>
            </w:r>
            <w:r w:rsidRPr="00702A1E">
              <w:rPr>
                <w:rFonts w:ascii="Times New Roman" w:hAnsi="Times New Roman" w:cs="Times New Roman"/>
                <w:bCs/>
              </w:rPr>
              <w:t>.g. sastoji se od rashoda za zaposlene, te materijalnih rashoda poslovanja koji se financiraju iz:</w:t>
            </w:r>
          </w:p>
          <w:p w14:paraId="226FFD2A" w14:textId="12F7E31C" w:rsidR="00FA6BF1" w:rsidRPr="00702A1E" w:rsidRDefault="00091387" w:rsidP="00C97AA2">
            <w:pPr>
              <w:numPr>
                <w:ilvl w:val="0"/>
                <w:numId w:val="12"/>
              </w:numPr>
              <w:suppressAutoHyphens w:val="0"/>
              <w:spacing w:line="240" w:lineRule="auto"/>
              <w:jc w:val="both"/>
              <w:rPr>
                <w:rFonts w:ascii="Times New Roman" w:hAnsi="Times New Roman" w:cs="Times New Roman"/>
              </w:rPr>
            </w:pPr>
            <w:r w:rsidRPr="00702A1E">
              <w:rPr>
                <w:rFonts w:ascii="Times New Roman" w:hAnsi="Times New Roman" w:cs="Times New Roman"/>
                <w:bCs/>
              </w:rPr>
              <w:t xml:space="preserve">vlastitih prihoda ustanove u iznosu od </w:t>
            </w:r>
            <w:r w:rsidR="00327AE9" w:rsidRPr="00702A1E">
              <w:rPr>
                <w:rFonts w:ascii="Times New Roman" w:hAnsi="Times New Roman" w:cs="Times New Roman"/>
                <w:bCs/>
              </w:rPr>
              <w:t>12.000,00</w:t>
            </w:r>
            <w:r w:rsidRPr="00702A1E">
              <w:rPr>
                <w:rFonts w:ascii="Times New Roman" w:hAnsi="Times New Roman" w:cs="Times New Roman"/>
                <w:bCs/>
              </w:rPr>
              <w:t xml:space="preserve"> </w:t>
            </w:r>
            <w:r w:rsidRPr="00702A1E">
              <w:rPr>
                <w:rFonts w:ascii="Times New Roman" w:hAnsi="Times New Roman" w:cs="Times New Roman"/>
                <w:bCs/>
                <w:color w:val="000000"/>
              </w:rPr>
              <w:t>€ u 202</w:t>
            </w:r>
            <w:r w:rsidR="00327AE9" w:rsidRPr="00702A1E">
              <w:rPr>
                <w:rFonts w:ascii="Times New Roman" w:hAnsi="Times New Roman" w:cs="Times New Roman"/>
                <w:bCs/>
                <w:color w:val="000000"/>
              </w:rPr>
              <w:t>4</w:t>
            </w:r>
            <w:r w:rsidRPr="00702A1E">
              <w:rPr>
                <w:rFonts w:ascii="Times New Roman" w:hAnsi="Times New Roman" w:cs="Times New Roman"/>
                <w:bCs/>
                <w:color w:val="000000"/>
              </w:rPr>
              <w:t>.g.</w:t>
            </w:r>
            <w:r w:rsidRPr="00702A1E">
              <w:rPr>
                <w:rFonts w:ascii="Times New Roman" w:hAnsi="Times New Roman" w:cs="Times New Roman"/>
                <w:bCs/>
              </w:rPr>
              <w:t xml:space="preserve">, </w:t>
            </w:r>
            <w:r w:rsidR="00327AE9" w:rsidRPr="00702A1E">
              <w:rPr>
                <w:rFonts w:ascii="Times New Roman" w:hAnsi="Times New Roman" w:cs="Times New Roman"/>
                <w:bCs/>
              </w:rPr>
              <w:t>2025.g. i 2026.g.</w:t>
            </w:r>
            <w:r w:rsidRPr="00702A1E">
              <w:rPr>
                <w:rFonts w:ascii="Times New Roman" w:hAnsi="Times New Roman" w:cs="Times New Roman"/>
                <w:bCs/>
              </w:rPr>
              <w:t>,</w:t>
            </w:r>
          </w:p>
          <w:p w14:paraId="3D4FEF27" w14:textId="6445DDFB" w:rsidR="00FA6BF1" w:rsidRPr="00702A1E" w:rsidRDefault="00091387" w:rsidP="00C97AA2">
            <w:pPr>
              <w:widowControl/>
              <w:numPr>
                <w:ilvl w:val="0"/>
                <w:numId w:val="12"/>
              </w:numPr>
              <w:snapToGrid w:val="0"/>
              <w:spacing w:after="160" w:line="240" w:lineRule="auto"/>
              <w:jc w:val="both"/>
              <w:textAlignment w:val="baseline"/>
              <w:rPr>
                <w:rFonts w:ascii="Times New Roman" w:hAnsi="Times New Roman" w:cs="Times New Roman"/>
              </w:rPr>
            </w:pPr>
            <w:r w:rsidRPr="00702A1E">
              <w:rPr>
                <w:rFonts w:ascii="Times New Roman" w:eastAsia="Times New Roman" w:hAnsi="Times New Roman" w:cs="Times New Roman"/>
                <w:bCs/>
              </w:rPr>
              <w:t xml:space="preserve">pomoći proračunskim korisnicima iz proračuna koji im nije nadležan (pomoći iz državnog proračuna) u iznosu od </w:t>
            </w:r>
            <w:r w:rsidR="00327AE9" w:rsidRPr="00702A1E">
              <w:rPr>
                <w:rFonts w:ascii="Times New Roman" w:eastAsia="Times New Roman" w:hAnsi="Times New Roman" w:cs="Times New Roman"/>
                <w:bCs/>
              </w:rPr>
              <w:t>758.000</w:t>
            </w:r>
            <w:r w:rsidRPr="00702A1E">
              <w:rPr>
                <w:rFonts w:ascii="Times New Roman" w:eastAsia="Times New Roman" w:hAnsi="Times New Roman" w:cs="Times New Roman"/>
                <w:bCs/>
              </w:rPr>
              <w:t>,</w:t>
            </w:r>
            <w:r w:rsidR="00327AE9" w:rsidRPr="00702A1E">
              <w:rPr>
                <w:rFonts w:ascii="Times New Roman" w:eastAsia="Times New Roman" w:hAnsi="Times New Roman" w:cs="Times New Roman"/>
                <w:bCs/>
              </w:rPr>
              <w:t>00</w:t>
            </w:r>
            <w:r w:rsidRPr="00702A1E">
              <w:rPr>
                <w:rFonts w:ascii="Times New Roman" w:eastAsia="Times New Roman" w:hAnsi="Times New Roman" w:cs="Times New Roman"/>
                <w:bCs/>
              </w:rPr>
              <w:t xml:space="preserve"> </w:t>
            </w:r>
            <w:r w:rsidRPr="00702A1E">
              <w:rPr>
                <w:rFonts w:ascii="Times New Roman" w:eastAsia="Times New Roman" w:hAnsi="Times New Roman" w:cs="Times New Roman"/>
                <w:bCs/>
                <w:color w:val="000000"/>
                <w:kern w:val="0"/>
              </w:rPr>
              <w:t>€ u 202</w:t>
            </w:r>
            <w:r w:rsidR="00327AE9" w:rsidRPr="00702A1E">
              <w:rPr>
                <w:rFonts w:ascii="Times New Roman" w:eastAsia="Times New Roman" w:hAnsi="Times New Roman" w:cs="Times New Roman"/>
                <w:bCs/>
                <w:color w:val="000000"/>
                <w:kern w:val="0"/>
              </w:rPr>
              <w:t>4</w:t>
            </w:r>
            <w:r w:rsidRPr="00702A1E">
              <w:rPr>
                <w:rFonts w:ascii="Times New Roman" w:eastAsia="Times New Roman" w:hAnsi="Times New Roman" w:cs="Times New Roman"/>
                <w:bCs/>
                <w:color w:val="000000"/>
                <w:kern w:val="0"/>
              </w:rPr>
              <w:t>.g.</w:t>
            </w:r>
            <w:r w:rsidRPr="00702A1E">
              <w:rPr>
                <w:rFonts w:ascii="Times New Roman" w:eastAsia="Times New Roman" w:hAnsi="Times New Roman" w:cs="Times New Roman"/>
                <w:bCs/>
              </w:rPr>
              <w:t xml:space="preserve">, u iznosu od </w:t>
            </w:r>
            <w:r w:rsidR="00327AE9" w:rsidRPr="00702A1E">
              <w:rPr>
                <w:rFonts w:ascii="Times New Roman" w:eastAsia="Times New Roman" w:hAnsi="Times New Roman" w:cs="Times New Roman"/>
                <w:bCs/>
              </w:rPr>
              <w:t>762.000,00</w:t>
            </w:r>
            <w:r w:rsidRPr="00702A1E">
              <w:rPr>
                <w:rFonts w:ascii="Times New Roman" w:eastAsia="Times New Roman" w:hAnsi="Times New Roman" w:cs="Times New Roman"/>
                <w:bCs/>
              </w:rPr>
              <w:t xml:space="preserve"> </w:t>
            </w:r>
            <w:r w:rsidRPr="00702A1E">
              <w:rPr>
                <w:rFonts w:ascii="Times New Roman" w:eastAsia="Times New Roman" w:hAnsi="Times New Roman" w:cs="Times New Roman"/>
                <w:bCs/>
                <w:color w:val="000000"/>
                <w:kern w:val="0"/>
              </w:rPr>
              <w:t>€ u 202</w:t>
            </w:r>
            <w:r w:rsidR="00327AE9" w:rsidRPr="00702A1E">
              <w:rPr>
                <w:rFonts w:ascii="Times New Roman" w:eastAsia="Times New Roman" w:hAnsi="Times New Roman" w:cs="Times New Roman"/>
                <w:bCs/>
                <w:color w:val="000000"/>
                <w:kern w:val="0"/>
              </w:rPr>
              <w:t>5</w:t>
            </w:r>
            <w:r w:rsidRPr="00702A1E">
              <w:rPr>
                <w:rFonts w:ascii="Times New Roman" w:eastAsia="Times New Roman" w:hAnsi="Times New Roman" w:cs="Times New Roman"/>
                <w:bCs/>
                <w:color w:val="000000"/>
                <w:kern w:val="0"/>
              </w:rPr>
              <w:t xml:space="preserve">.g. i u iznosu od </w:t>
            </w:r>
            <w:r w:rsidR="00327AE9" w:rsidRPr="00702A1E">
              <w:rPr>
                <w:rFonts w:ascii="Times New Roman" w:eastAsia="Times New Roman" w:hAnsi="Times New Roman" w:cs="Times New Roman"/>
                <w:bCs/>
                <w:color w:val="000000"/>
                <w:kern w:val="0"/>
              </w:rPr>
              <w:t>766.000,00</w:t>
            </w:r>
            <w:r w:rsidRPr="00702A1E">
              <w:rPr>
                <w:rFonts w:ascii="Times New Roman" w:eastAsia="Times New Roman" w:hAnsi="Times New Roman" w:cs="Times New Roman"/>
                <w:bCs/>
                <w:color w:val="000000"/>
                <w:kern w:val="0"/>
              </w:rPr>
              <w:t xml:space="preserve"> € u 202</w:t>
            </w:r>
            <w:r w:rsidR="00327AE9" w:rsidRPr="00702A1E">
              <w:rPr>
                <w:rFonts w:ascii="Times New Roman" w:eastAsia="Times New Roman" w:hAnsi="Times New Roman" w:cs="Times New Roman"/>
                <w:bCs/>
                <w:color w:val="000000"/>
                <w:kern w:val="0"/>
              </w:rPr>
              <w:t>6</w:t>
            </w:r>
            <w:r w:rsidRPr="00702A1E">
              <w:rPr>
                <w:rFonts w:ascii="Times New Roman" w:eastAsia="Times New Roman" w:hAnsi="Times New Roman" w:cs="Times New Roman"/>
                <w:bCs/>
                <w:color w:val="000000"/>
                <w:kern w:val="0"/>
              </w:rPr>
              <w:t xml:space="preserve">.g. </w:t>
            </w:r>
          </w:p>
          <w:p w14:paraId="2E263EA9" w14:textId="77777777" w:rsidR="00FA6BF1" w:rsidRPr="00702A1E" w:rsidRDefault="00FA6BF1" w:rsidP="00C97AA2">
            <w:pPr>
              <w:widowControl/>
              <w:spacing w:after="0" w:line="240" w:lineRule="auto"/>
              <w:jc w:val="both"/>
              <w:rPr>
                <w:rFonts w:ascii="Times New Roman" w:hAnsi="Times New Roman" w:cs="Times New Roman"/>
                <w:bCs/>
                <w:color w:val="000000"/>
              </w:rPr>
            </w:pPr>
          </w:p>
        </w:tc>
      </w:tr>
      <w:tr w:rsidR="00FA6BF1" w:rsidRPr="00702A1E" w14:paraId="11C53659"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A806CB6" w14:textId="77777777" w:rsidR="00FA6BF1" w:rsidRPr="00702A1E" w:rsidRDefault="00091387" w:rsidP="00C97AA2">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bCs/>
                <w:color w:val="000000"/>
                <w:lang w:eastAsia="hr-HR"/>
              </w:rPr>
              <w:t>Obrazloženje izračuna financijskih sredstava: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D76DCB" w14:textId="3C537075" w:rsidR="00FA6BF1" w:rsidRPr="00702A1E" w:rsidRDefault="00091387" w:rsidP="00C97AA2">
            <w:pPr>
              <w:spacing w:line="240" w:lineRule="auto"/>
              <w:jc w:val="both"/>
              <w:rPr>
                <w:rFonts w:ascii="Times New Roman" w:hAnsi="Times New Roman" w:cs="Times New Roman"/>
                <w:iCs/>
              </w:rPr>
            </w:pPr>
            <w:r w:rsidRPr="00702A1E">
              <w:rPr>
                <w:rFonts w:ascii="Times New Roman" w:hAnsi="Times New Roman" w:cs="Times New Roman"/>
                <w:iCs/>
              </w:rPr>
              <w:t xml:space="preserve">Rashodi koji će </w:t>
            </w:r>
            <w:r w:rsidR="008E7AB2" w:rsidRPr="00702A1E">
              <w:rPr>
                <w:rFonts w:ascii="Times New Roman" w:hAnsi="Times New Roman" w:cs="Times New Roman"/>
                <w:iCs/>
              </w:rPr>
              <w:t xml:space="preserve">se </w:t>
            </w:r>
            <w:r w:rsidRPr="00702A1E">
              <w:rPr>
                <w:rFonts w:ascii="Times New Roman" w:hAnsi="Times New Roman" w:cs="Times New Roman"/>
                <w:iCs/>
              </w:rPr>
              <w:t>financirati u ovoj aktivnosti u 202</w:t>
            </w:r>
            <w:r w:rsidR="00327AE9" w:rsidRPr="00702A1E">
              <w:rPr>
                <w:rFonts w:ascii="Times New Roman" w:hAnsi="Times New Roman" w:cs="Times New Roman"/>
                <w:iCs/>
              </w:rPr>
              <w:t>4</w:t>
            </w:r>
            <w:r w:rsidRPr="00702A1E">
              <w:rPr>
                <w:rFonts w:ascii="Times New Roman" w:hAnsi="Times New Roman" w:cs="Times New Roman"/>
                <w:iCs/>
              </w:rPr>
              <w:t xml:space="preserve">.g. su: rashodi za zaposlene u iznosu od </w:t>
            </w:r>
            <w:r w:rsidR="00327AE9" w:rsidRPr="00702A1E">
              <w:rPr>
                <w:rFonts w:ascii="Times New Roman" w:hAnsi="Times New Roman" w:cs="Times New Roman"/>
                <w:iCs/>
              </w:rPr>
              <w:t>760.000,00</w:t>
            </w:r>
            <w:r w:rsidRPr="00702A1E">
              <w:rPr>
                <w:rFonts w:ascii="Times New Roman" w:hAnsi="Times New Roman" w:cs="Times New Roman"/>
                <w:iCs/>
              </w:rPr>
              <w:t xml:space="preserve"> € odnosno 3,</w:t>
            </w:r>
            <w:r w:rsidR="00327AE9" w:rsidRPr="00702A1E">
              <w:rPr>
                <w:rFonts w:ascii="Times New Roman" w:hAnsi="Times New Roman" w:cs="Times New Roman"/>
                <w:iCs/>
              </w:rPr>
              <w:t>1</w:t>
            </w:r>
            <w:r w:rsidRPr="00702A1E">
              <w:rPr>
                <w:rFonts w:ascii="Times New Roman" w:hAnsi="Times New Roman" w:cs="Times New Roman"/>
                <w:iCs/>
              </w:rPr>
              <w:t xml:space="preserve">% ukupnih rashoda, te materijalni rashodi (nabava zaštitne opreme i usluga odvoza infektivnog otpada) u iznosu od </w:t>
            </w:r>
            <w:r w:rsidR="00327AE9" w:rsidRPr="00702A1E">
              <w:rPr>
                <w:rFonts w:ascii="Times New Roman" w:hAnsi="Times New Roman" w:cs="Times New Roman"/>
                <w:iCs/>
              </w:rPr>
              <w:t>10.000,00</w:t>
            </w:r>
            <w:r w:rsidRPr="00702A1E">
              <w:rPr>
                <w:rFonts w:ascii="Times New Roman" w:hAnsi="Times New Roman" w:cs="Times New Roman"/>
                <w:iCs/>
              </w:rPr>
              <w:t xml:space="preserve"> € odnosno 0,</w:t>
            </w:r>
            <w:r w:rsidR="00327AE9" w:rsidRPr="00702A1E">
              <w:rPr>
                <w:rFonts w:ascii="Times New Roman" w:hAnsi="Times New Roman" w:cs="Times New Roman"/>
                <w:iCs/>
              </w:rPr>
              <w:t>04</w:t>
            </w:r>
            <w:r w:rsidRPr="00702A1E">
              <w:rPr>
                <w:rFonts w:ascii="Times New Roman" w:hAnsi="Times New Roman" w:cs="Times New Roman"/>
                <w:iCs/>
              </w:rPr>
              <w:t xml:space="preserve"> % ukupnih rashoda.</w:t>
            </w:r>
          </w:p>
          <w:p w14:paraId="629BB8E5" w14:textId="78B2BB62" w:rsidR="00FA6BF1" w:rsidRPr="00702A1E" w:rsidRDefault="00091387" w:rsidP="00C97AA2">
            <w:pPr>
              <w:spacing w:line="240" w:lineRule="auto"/>
              <w:jc w:val="both"/>
              <w:rPr>
                <w:rFonts w:ascii="Times New Roman" w:hAnsi="Times New Roman" w:cs="Times New Roman"/>
                <w:iCs/>
              </w:rPr>
            </w:pPr>
            <w:r w:rsidRPr="00702A1E">
              <w:rPr>
                <w:rFonts w:ascii="Times New Roman" w:hAnsi="Times New Roman" w:cs="Times New Roman"/>
                <w:iCs/>
              </w:rPr>
              <w:t>U 202</w:t>
            </w:r>
            <w:r w:rsidR="00327AE9" w:rsidRPr="00702A1E">
              <w:rPr>
                <w:rFonts w:ascii="Times New Roman" w:hAnsi="Times New Roman" w:cs="Times New Roman"/>
                <w:iCs/>
              </w:rPr>
              <w:t>5</w:t>
            </w:r>
            <w:r w:rsidRPr="00702A1E">
              <w:rPr>
                <w:rFonts w:ascii="Times New Roman" w:hAnsi="Times New Roman" w:cs="Times New Roman"/>
                <w:iCs/>
              </w:rPr>
              <w:t xml:space="preserve">. godini </w:t>
            </w:r>
            <w:r w:rsidR="000342EB" w:rsidRPr="00702A1E">
              <w:rPr>
                <w:rFonts w:ascii="Times New Roman" w:hAnsi="Times New Roman" w:cs="Times New Roman"/>
                <w:iCs/>
              </w:rPr>
              <w:t xml:space="preserve">prihodi se planiraju veći za 0,5 % te uravnoteženo prihodima planiraju se rashodi </w:t>
            </w:r>
            <w:r w:rsidRPr="00702A1E">
              <w:rPr>
                <w:rFonts w:ascii="Times New Roman" w:hAnsi="Times New Roman" w:cs="Times New Roman"/>
                <w:iCs/>
              </w:rPr>
              <w:t xml:space="preserve">za zaposlene  </w:t>
            </w:r>
            <w:r w:rsidR="000342EB" w:rsidRPr="00702A1E">
              <w:rPr>
                <w:rFonts w:ascii="Times New Roman" w:hAnsi="Times New Roman" w:cs="Times New Roman"/>
                <w:iCs/>
              </w:rPr>
              <w:t xml:space="preserve">u iznosu od </w:t>
            </w:r>
            <w:r w:rsidR="00327AE9" w:rsidRPr="00702A1E">
              <w:rPr>
                <w:rFonts w:ascii="Times New Roman" w:hAnsi="Times New Roman" w:cs="Times New Roman"/>
                <w:iCs/>
              </w:rPr>
              <w:t>764.000</w:t>
            </w:r>
            <w:r w:rsidRPr="00702A1E">
              <w:rPr>
                <w:rFonts w:ascii="Times New Roman" w:hAnsi="Times New Roman" w:cs="Times New Roman"/>
                <w:iCs/>
              </w:rPr>
              <w:t>,</w:t>
            </w:r>
            <w:r w:rsidR="00327AE9" w:rsidRPr="00702A1E">
              <w:rPr>
                <w:rFonts w:ascii="Times New Roman" w:hAnsi="Times New Roman" w:cs="Times New Roman"/>
                <w:iCs/>
              </w:rPr>
              <w:t>00</w:t>
            </w:r>
            <w:r w:rsidRPr="00702A1E">
              <w:rPr>
                <w:rFonts w:ascii="Times New Roman" w:hAnsi="Times New Roman" w:cs="Times New Roman"/>
                <w:iCs/>
              </w:rPr>
              <w:t xml:space="preserve"> € (povećanje od 0,5 % u odnosu na 202</w:t>
            </w:r>
            <w:r w:rsidR="000342EB" w:rsidRPr="00702A1E">
              <w:rPr>
                <w:rFonts w:ascii="Times New Roman" w:hAnsi="Times New Roman" w:cs="Times New Roman"/>
                <w:iCs/>
              </w:rPr>
              <w:t>4</w:t>
            </w:r>
            <w:r w:rsidRPr="00702A1E">
              <w:rPr>
                <w:rFonts w:ascii="Times New Roman" w:hAnsi="Times New Roman" w:cs="Times New Roman"/>
                <w:iCs/>
              </w:rPr>
              <w:t xml:space="preserve">.g.) </w:t>
            </w:r>
            <w:r w:rsidR="000342EB" w:rsidRPr="00702A1E">
              <w:rPr>
                <w:rFonts w:ascii="Times New Roman" w:hAnsi="Times New Roman" w:cs="Times New Roman"/>
                <w:iCs/>
              </w:rPr>
              <w:t xml:space="preserve">i </w:t>
            </w:r>
            <w:r w:rsidRPr="00702A1E">
              <w:rPr>
                <w:rFonts w:ascii="Times New Roman" w:hAnsi="Times New Roman" w:cs="Times New Roman"/>
                <w:iCs/>
              </w:rPr>
              <w:t>materijaln</w:t>
            </w:r>
            <w:r w:rsidR="000342EB" w:rsidRPr="00702A1E">
              <w:rPr>
                <w:rFonts w:ascii="Times New Roman" w:hAnsi="Times New Roman" w:cs="Times New Roman"/>
                <w:iCs/>
              </w:rPr>
              <w:t>i</w:t>
            </w:r>
            <w:r w:rsidRPr="00702A1E">
              <w:rPr>
                <w:rFonts w:ascii="Times New Roman" w:hAnsi="Times New Roman" w:cs="Times New Roman"/>
                <w:iCs/>
              </w:rPr>
              <w:t xml:space="preserve"> rashod</w:t>
            </w:r>
            <w:r w:rsidR="000342EB" w:rsidRPr="00702A1E">
              <w:rPr>
                <w:rFonts w:ascii="Times New Roman" w:hAnsi="Times New Roman" w:cs="Times New Roman"/>
                <w:iCs/>
              </w:rPr>
              <w:t>i u iznosu od</w:t>
            </w:r>
            <w:r w:rsidRPr="00702A1E">
              <w:rPr>
                <w:rFonts w:ascii="Times New Roman" w:hAnsi="Times New Roman" w:cs="Times New Roman"/>
                <w:iCs/>
              </w:rPr>
              <w:t xml:space="preserve"> </w:t>
            </w:r>
            <w:r w:rsidR="000342EB" w:rsidRPr="00702A1E">
              <w:rPr>
                <w:rFonts w:ascii="Times New Roman" w:hAnsi="Times New Roman" w:cs="Times New Roman"/>
                <w:iCs/>
              </w:rPr>
              <w:t>10.000,00</w:t>
            </w:r>
            <w:r w:rsidRPr="00702A1E">
              <w:rPr>
                <w:rFonts w:ascii="Times New Roman" w:hAnsi="Times New Roman" w:cs="Times New Roman"/>
                <w:iCs/>
              </w:rPr>
              <w:t xml:space="preserve"> € (</w:t>
            </w:r>
            <w:r w:rsidR="000342EB" w:rsidRPr="00702A1E">
              <w:rPr>
                <w:rFonts w:ascii="Times New Roman" w:hAnsi="Times New Roman" w:cs="Times New Roman"/>
                <w:iCs/>
              </w:rPr>
              <w:t>ostaju na istoj razini kao i u 2024.g.</w:t>
            </w:r>
            <w:r w:rsidRPr="00702A1E">
              <w:rPr>
                <w:rFonts w:ascii="Times New Roman" w:hAnsi="Times New Roman" w:cs="Times New Roman"/>
                <w:iCs/>
              </w:rPr>
              <w:t>).</w:t>
            </w:r>
          </w:p>
          <w:p w14:paraId="0B111338" w14:textId="20FE73C5" w:rsidR="00FA6BF1" w:rsidRPr="00702A1E" w:rsidRDefault="00091387" w:rsidP="00C97AA2">
            <w:pPr>
              <w:widowControl/>
              <w:snapToGrid w:val="0"/>
              <w:spacing w:after="0" w:line="240" w:lineRule="auto"/>
              <w:jc w:val="both"/>
              <w:rPr>
                <w:rFonts w:ascii="Times New Roman" w:hAnsi="Times New Roman" w:cs="Times New Roman"/>
              </w:rPr>
            </w:pPr>
            <w:r w:rsidRPr="00702A1E">
              <w:rPr>
                <w:rFonts w:ascii="Times New Roman" w:hAnsi="Times New Roman" w:cs="Times New Roman"/>
                <w:iCs/>
              </w:rPr>
              <w:t>U 202</w:t>
            </w:r>
            <w:r w:rsidR="000342EB" w:rsidRPr="00702A1E">
              <w:rPr>
                <w:rFonts w:ascii="Times New Roman" w:hAnsi="Times New Roman" w:cs="Times New Roman"/>
                <w:iCs/>
              </w:rPr>
              <w:t>6</w:t>
            </w:r>
            <w:r w:rsidRPr="00702A1E">
              <w:rPr>
                <w:rFonts w:ascii="Times New Roman" w:hAnsi="Times New Roman" w:cs="Times New Roman"/>
                <w:iCs/>
              </w:rPr>
              <w:t xml:space="preserve">. godini ova aktivnost će se financirati iz istih izvora prihoda koji su za </w:t>
            </w:r>
            <w:r w:rsidR="000342EB" w:rsidRPr="00702A1E">
              <w:rPr>
                <w:rFonts w:ascii="Times New Roman" w:hAnsi="Times New Roman" w:cs="Times New Roman"/>
                <w:iCs/>
              </w:rPr>
              <w:t>0,5</w:t>
            </w:r>
            <w:r w:rsidRPr="00702A1E">
              <w:rPr>
                <w:rFonts w:ascii="Times New Roman" w:hAnsi="Times New Roman" w:cs="Times New Roman"/>
                <w:iCs/>
              </w:rPr>
              <w:t xml:space="preserve"> % veći od plana za 202</w:t>
            </w:r>
            <w:r w:rsidR="000342EB" w:rsidRPr="00702A1E">
              <w:rPr>
                <w:rFonts w:ascii="Times New Roman" w:hAnsi="Times New Roman" w:cs="Times New Roman"/>
                <w:iCs/>
              </w:rPr>
              <w:t>5</w:t>
            </w:r>
            <w:r w:rsidRPr="00702A1E">
              <w:rPr>
                <w:rFonts w:ascii="Times New Roman" w:hAnsi="Times New Roman" w:cs="Times New Roman"/>
                <w:iCs/>
              </w:rPr>
              <w:t xml:space="preserve">. godinu. Planirani rashodi za zaposlene iznose </w:t>
            </w:r>
            <w:r w:rsidR="000342EB" w:rsidRPr="00702A1E">
              <w:rPr>
                <w:rFonts w:ascii="Times New Roman" w:hAnsi="Times New Roman" w:cs="Times New Roman"/>
                <w:iCs/>
              </w:rPr>
              <w:t>768.000,00</w:t>
            </w:r>
            <w:r w:rsidRPr="00702A1E">
              <w:rPr>
                <w:rFonts w:ascii="Times New Roman" w:hAnsi="Times New Roman" w:cs="Times New Roman"/>
                <w:iCs/>
              </w:rPr>
              <w:t xml:space="preserve"> € (povećanje od  0,5 % u odnosu na 202</w:t>
            </w:r>
            <w:r w:rsidR="000342EB" w:rsidRPr="00702A1E">
              <w:rPr>
                <w:rFonts w:ascii="Times New Roman" w:hAnsi="Times New Roman" w:cs="Times New Roman"/>
                <w:iCs/>
              </w:rPr>
              <w:t>5</w:t>
            </w:r>
            <w:r w:rsidRPr="00702A1E">
              <w:rPr>
                <w:rFonts w:ascii="Times New Roman" w:hAnsi="Times New Roman" w:cs="Times New Roman"/>
                <w:iCs/>
              </w:rPr>
              <w:t xml:space="preserve">.g.) dok materijalni rashodi iznose </w:t>
            </w:r>
            <w:r w:rsidR="000342EB" w:rsidRPr="00702A1E">
              <w:rPr>
                <w:rFonts w:ascii="Times New Roman" w:hAnsi="Times New Roman" w:cs="Times New Roman"/>
                <w:iCs/>
              </w:rPr>
              <w:t>10.000,00</w:t>
            </w:r>
            <w:r w:rsidRPr="00702A1E">
              <w:rPr>
                <w:rFonts w:ascii="Times New Roman" w:hAnsi="Times New Roman" w:cs="Times New Roman"/>
                <w:iCs/>
              </w:rPr>
              <w:t xml:space="preserve"> €</w:t>
            </w:r>
            <w:r w:rsidR="000342EB" w:rsidRPr="00702A1E">
              <w:rPr>
                <w:rFonts w:ascii="Times New Roman" w:hAnsi="Times New Roman" w:cs="Times New Roman"/>
                <w:iCs/>
              </w:rPr>
              <w:t xml:space="preserve"> (ostaju nepromijenjeni u odnosu na 2025.g.).</w:t>
            </w:r>
          </w:p>
          <w:p w14:paraId="5F9FD542" w14:textId="77777777" w:rsidR="00FA6BF1" w:rsidRPr="00702A1E" w:rsidRDefault="00FA6BF1" w:rsidP="00C97AA2">
            <w:pPr>
              <w:widowControl/>
              <w:snapToGrid w:val="0"/>
              <w:spacing w:after="0" w:line="240" w:lineRule="auto"/>
              <w:jc w:val="both"/>
              <w:rPr>
                <w:rFonts w:ascii="Times New Roman" w:hAnsi="Times New Roman" w:cs="Times New Roman"/>
              </w:rPr>
            </w:pPr>
          </w:p>
        </w:tc>
      </w:tr>
      <w:tr w:rsidR="00FA6BF1" w:rsidRPr="00702A1E" w14:paraId="5D561528" w14:textId="77777777">
        <w:trPr>
          <w:trHeight w:val="257"/>
        </w:trPr>
        <w:tc>
          <w:tcPr>
            <w:tcW w:w="940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209" w:type="dxa"/>
              <w:tblLayout w:type="fixed"/>
              <w:tblCellMar>
                <w:left w:w="10" w:type="dxa"/>
                <w:right w:w="10" w:type="dxa"/>
              </w:tblCellMar>
              <w:tblLook w:val="04A0" w:firstRow="1" w:lastRow="0" w:firstColumn="1" w:lastColumn="0" w:noHBand="0" w:noVBand="1"/>
            </w:tblPr>
            <w:tblGrid>
              <w:gridCol w:w="1580"/>
              <w:gridCol w:w="1378"/>
              <w:gridCol w:w="1492"/>
              <w:gridCol w:w="1492"/>
              <w:gridCol w:w="1566"/>
              <w:gridCol w:w="1701"/>
            </w:tblGrid>
            <w:tr w:rsidR="00820E7E" w:rsidRPr="00487224" w14:paraId="04A1972C"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5C2A0FD" w14:textId="2E4A7DF5"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Izvršeno 2022.</w:t>
                  </w:r>
                </w:p>
              </w:tc>
              <w:tc>
                <w:tcPr>
                  <w:tcW w:w="137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6A6EDA4" w14:textId="785C212B"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Financijski plan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CF77D59" w14:textId="76E66FB5"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II. Rebalans 2023.€</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90B830" w14:textId="29579F5D"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Plan 2024.</w:t>
                  </w:r>
                </w:p>
              </w:tc>
              <w:tc>
                <w:tcPr>
                  <w:tcW w:w="15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3F70930" w14:textId="21897F70"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Projekcija 2025.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7286B1B" w14:textId="32EABE8F"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color w:val="000000"/>
                    </w:rPr>
                    <w:t>Projekcija 2026.</w:t>
                  </w:r>
                </w:p>
              </w:tc>
            </w:tr>
            <w:tr w:rsidR="00820E7E" w:rsidRPr="00487224" w14:paraId="15B984B4"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1147A" w14:textId="1E112AF2" w:rsidR="00820E7E" w:rsidRPr="00487224" w:rsidRDefault="00820E7E" w:rsidP="00820E7E">
                  <w:pPr>
                    <w:widowControl/>
                    <w:spacing w:after="0" w:line="240" w:lineRule="auto"/>
                    <w:jc w:val="center"/>
                    <w:textAlignment w:val="baseline"/>
                    <w:rPr>
                      <w:rFonts w:ascii="Times New Roman" w:hAnsi="Times New Roman" w:cs="Times New Roman"/>
                      <w:b/>
                      <w:bCs/>
                    </w:rPr>
                  </w:pPr>
                  <w:r w:rsidRPr="00487224">
                    <w:rPr>
                      <w:rFonts w:ascii="Times New Roman" w:hAnsi="Times New Roman" w:cs="Times New Roman"/>
                      <w:b/>
                      <w:bCs/>
                    </w:rPr>
                    <w:t>630.357,38 €</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EB6D93" w14:textId="0520B851"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624.991,70 €</w:t>
                  </w:r>
                </w:p>
              </w:tc>
              <w:tc>
                <w:tcPr>
                  <w:tcW w:w="14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D797C3" w14:textId="1593CDBD" w:rsidR="00820E7E" w:rsidRPr="00487224" w:rsidRDefault="00487224" w:rsidP="00820E7E">
                  <w:pPr>
                    <w:widowControl/>
                    <w:spacing w:after="0" w:line="240" w:lineRule="auto"/>
                    <w:jc w:val="right"/>
                    <w:textAlignment w:val="baseline"/>
                    <w:rPr>
                      <w:rFonts w:ascii="Times New Roman" w:hAnsi="Times New Roman" w:cs="Times New Roman"/>
                      <w:b/>
                      <w:bCs/>
                    </w:rPr>
                  </w:pPr>
                  <w:r>
                    <w:rPr>
                      <w:rFonts w:ascii="Times New Roman" w:hAnsi="Times New Roman" w:cs="Times New Roman"/>
                      <w:b/>
                      <w:bCs/>
                    </w:rPr>
                    <w:t>762.000</w:t>
                  </w:r>
                  <w:r w:rsidR="00820E7E" w:rsidRPr="00487224">
                    <w:rPr>
                      <w:rFonts w:ascii="Times New Roman" w:hAnsi="Times New Roman" w:cs="Times New Roman"/>
                      <w:b/>
                      <w:bCs/>
                    </w:rPr>
                    <w:t>,00 €</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E5FB3E" w14:textId="438DF726"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770.000,00 €</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E4467A" w14:textId="3FBCC393" w:rsidR="00820E7E" w:rsidRPr="00487224" w:rsidRDefault="00820E7E" w:rsidP="00820E7E">
                  <w:pPr>
                    <w:widowControl/>
                    <w:spacing w:after="0" w:line="240" w:lineRule="auto"/>
                    <w:textAlignment w:val="baseline"/>
                    <w:rPr>
                      <w:rFonts w:ascii="Times New Roman" w:hAnsi="Times New Roman" w:cs="Times New Roman"/>
                      <w:b/>
                      <w:bCs/>
                    </w:rPr>
                  </w:pPr>
                  <w:r w:rsidRPr="00487224">
                    <w:rPr>
                      <w:rFonts w:ascii="Times New Roman" w:hAnsi="Times New Roman" w:cs="Times New Roman"/>
                      <w:b/>
                      <w:bCs/>
                    </w:rPr>
                    <w:t>774.000,00 €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707EB4" w14:textId="03B287E3" w:rsidR="00820E7E" w:rsidRPr="00487224" w:rsidRDefault="00820E7E" w:rsidP="00820E7E">
                  <w:pPr>
                    <w:widowControl/>
                    <w:spacing w:after="0" w:line="240" w:lineRule="auto"/>
                    <w:jc w:val="right"/>
                    <w:textAlignment w:val="baseline"/>
                    <w:rPr>
                      <w:rFonts w:ascii="Times New Roman" w:hAnsi="Times New Roman" w:cs="Times New Roman"/>
                      <w:b/>
                      <w:bCs/>
                    </w:rPr>
                  </w:pPr>
                  <w:r w:rsidRPr="00487224">
                    <w:rPr>
                      <w:rFonts w:ascii="Times New Roman" w:hAnsi="Times New Roman" w:cs="Times New Roman"/>
                      <w:b/>
                      <w:bCs/>
                    </w:rPr>
                    <w:t>778.000,00 €</w:t>
                  </w:r>
                </w:p>
              </w:tc>
            </w:tr>
          </w:tbl>
          <w:p w14:paraId="0924A18B" w14:textId="77777777" w:rsidR="00FA6BF1" w:rsidRPr="00487224" w:rsidRDefault="00FA6BF1">
            <w:pPr>
              <w:widowControl/>
              <w:spacing w:after="0" w:line="240" w:lineRule="auto"/>
              <w:textAlignment w:val="baseline"/>
              <w:rPr>
                <w:rFonts w:ascii="Times New Roman" w:eastAsia="Times New Roman" w:hAnsi="Times New Roman" w:cs="Times New Roman"/>
                <w:b/>
                <w:bCs/>
                <w:color w:val="000000"/>
                <w:lang w:eastAsia="hr-HR"/>
              </w:rPr>
            </w:pPr>
          </w:p>
        </w:tc>
      </w:tr>
      <w:tr w:rsidR="005C50C3" w:rsidRPr="00702A1E" w14:paraId="7AE444AF"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767A32" w14:textId="7EA08B64" w:rsidR="005C50C3" w:rsidRPr="00702A1E" w:rsidRDefault="005C50C3" w:rsidP="005C50C3">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color w:val="000000"/>
                <w:lang w:eastAsia="hr-HR"/>
              </w:rPr>
              <w:t>Obrazloženja odstupanja od projekcija za 2024. i 2025. usvojenih u prošlogodišnjem Proračunu</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2DC3AA" w14:textId="77777777" w:rsidR="005C50C3" w:rsidRPr="00702A1E" w:rsidRDefault="005C50C3" w:rsidP="00C97AA2">
            <w:pPr>
              <w:widowControl/>
              <w:spacing w:after="0" w:line="240" w:lineRule="auto"/>
              <w:textAlignment w:val="baseline"/>
              <w:rPr>
                <w:rFonts w:ascii="Times New Roman" w:eastAsia="Times New Roman" w:hAnsi="Times New Roman" w:cs="Times New Roman"/>
                <w:i/>
                <w:color w:val="FF0000"/>
                <w:lang w:eastAsia="hr-HR"/>
              </w:rPr>
            </w:pPr>
          </w:p>
          <w:p w14:paraId="39B821C2" w14:textId="29BE30CD" w:rsidR="005C50C3" w:rsidRPr="00702A1E" w:rsidRDefault="005C50C3" w:rsidP="00C97AA2">
            <w:pPr>
              <w:widowControl/>
              <w:snapToGrid w:val="0"/>
              <w:spacing w:after="0" w:line="240" w:lineRule="auto"/>
              <w:jc w:val="both"/>
              <w:rPr>
                <w:rFonts w:ascii="Times New Roman" w:eastAsia="Times New Roman" w:hAnsi="Times New Roman" w:cs="Times New Roman"/>
                <w:bCs/>
                <w:kern w:val="0"/>
                <w:lang w:eastAsia="ar-SA"/>
              </w:rPr>
            </w:pPr>
            <w:r w:rsidRPr="00702A1E">
              <w:rPr>
                <w:rFonts w:ascii="Times New Roman" w:hAnsi="Times New Roman" w:cs="Times New Roman"/>
                <w:bCs/>
                <w:color w:val="000000"/>
              </w:rPr>
              <w:t>U odnosu na prošlogodišnje projekcije ova aktivnost je povećana za 22,5 % u 2024.g. i za 22,4 % u 2025.g. Razlog navedenog povećanja je u porastu osnovice i koeficijenata za obračun plaće te u uvođenju privremenog dodatka što nije bilo poznato prilikom izrade prošlogodišnjih projekcija.</w:t>
            </w:r>
          </w:p>
          <w:p w14:paraId="67F3D083" w14:textId="77777777" w:rsidR="005C50C3" w:rsidRPr="00702A1E" w:rsidRDefault="005C50C3" w:rsidP="00C97AA2">
            <w:pPr>
              <w:widowControl/>
              <w:snapToGrid w:val="0"/>
              <w:spacing w:after="0" w:line="240" w:lineRule="auto"/>
              <w:jc w:val="both"/>
              <w:rPr>
                <w:rFonts w:ascii="Times New Roman" w:eastAsia="Times New Roman" w:hAnsi="Times New Roman" w:cs="Times New Roman"/>
                <w:bCs/>
                <w:kern w:val="0"/>
                <w:lang w:eastAsia="ar-SA"/>
              </w:rPr>
            </w:pPr>
          </w:p>
          <w:p w14:paraId="6A5C8842" w14:textId="1A70EAF0" w:rsidR="005C50C3" w:rsidRPr="00702A1E" w:rsidRDefault="005C50C3" w:rsidP="00C97AA2">
            <w:pPr>
              <w:widowControl/>
              <w:spacing w:after="0" w:line="240" w:lineRule="auto"/>
              <w:jc w:val="both"/>
              <w:textAlignment w:val="baseline"/>
              <w:rPr>
                <w:rFonts w:ascii="Times New Roman" w:hAnsi="Times New Roman" w:cs="Times New Roman"/>
              </w:rPr>
            </w:pPr>
          </w:p>
        </w:tc>
      </w:tr>
    </w:tbl>
    <w:p w14:paraId="222BDF51" w14:textId="72F81ED1" w:rsidR="00FA6BF1" w:rsidRPr="00702A1E" w:rsidRDefault="00FA6BF1">
      <w:pPr>
        <w:pStyle w:val="Standard"/>
        <w:rPr>
          <w:sz w:val="22"/>
          <w:szCs w:val="22"/>
        </w:rPr>
      </w:pPr>
    </w:p>
    <w:p w14:paraId="33C33488" w14:textId="62C321F1" w:rsidR="00D515F2" w:rsidRPr="00702A1E" w:rsidRDefault="00D515F2">
      <w:pPr>
        <w:pStyle w:val="Standard"/>
        <w:rPr>
          <w:sz w:val="22"/>
          <w:szCs w:val="22"/>
        </w:rPr>
      </w:pPr>
    </w:p>
    <w:p w14:paraId="72FA00E6" w14:textId="77777777" w:rsidR="00D515F2" w:rsidRPr="00702A1E" w:rsidRDefault="00D515F2">
      <w:pPr>
        <w:pStyle w:val="Standard"/>
        <w:rPr>
          <w:sz w:val="22"/>
          <w:szCs w:val="22"/>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268"/>
        <w:gridCol w:w="709"/>
        <w:gridCol w:w="1277"/>
        <w:gridCol w:w="1133"/>
        <w:gridCol w:w="1230"/>
        <w:gridCol w:w="1269"/>
        <w:gridCol w:w="1270"/>
      </w:tblGrid>
      <w:tr w:rsidR="00FA6BF1" w:rsidRPr="00702A1E" w14:paraId="6B1568EF" w14:textId="77777777" w:rsidTr="00FB1800">
        <w:trPr>
          <w:trHeight w:val="651"/>
        </w:trPr>
        <w:tc>
          <w:tcPr>
            <w:tcW w:w="1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822F614" w14:textId="77777777" w:rsidR="00FA6BF1" w:rsidRPr="00702A1E" w:rsidRDefault="00091387">
            <w:pPr>
              <w:widowControl/>
              <w:spacing w:after="0" w:line="240" w:lineRule="auto"/>
              <w:textAlignment w:val="baseline"/>
              <w:rPr>
                <w:rFonts w:ascii="Times New Roman" w:hAnsi="Times New Roman" w:cs="Times New Roman"/>
              </w:rPr>
            </w:pPr>
            <w:r w:rsidRPr="00702A1E">
              <w:rPr>
                <w:rFonts w:ascii="Times New Roman" w:eastAsia="Times New Roman" w:hAnsi="Times New Roman" w:cs="Times New Roman"/>
                <w:b/>
                <w:lang w:eastAsia="hr-HR"/>
              </w:rPr>
              <w:t>Pokazatelj rezultata</w:t>
            </w:r>
          </w:p>
        </w:tc>
        <w:tc>
          <w:tcPr>
            <w:tcW w:w="1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04713F7"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Definicija</w:t>
            </w: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1D5B523"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Jedinica</w:t>
            </w:r>
          </w:p>
        </w:tc>
        <w:tc>
          <w:tcPr>
            <w:tcW w:w="12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E92C159" w14:textId="42268662"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Polazna vrijednost 202</w:t>
            </w:r>
            <w:r w:rsidR="00E76181" w:rsidRPr="00702A1E">
              <w:rPr>
                <w:rFonts w:ascii="Times New Roman" w:eastAsia="Times New Roman" w:hAnsi="Times New Roman" w:cs="Times New Roman"/>
                <w:b/>
                <w:lang w:eastAsia="hr-HR"/>
              </w:rPr>
              <w:t>3</w:t>
            </w:r>
            <w:r w:rsidRPr="00702A1E">
              <w:rPr>
                <w:rFonts w:ascii="Times New Roman" w:eastAsia="Times New Roman" w:hAnsi="Times New Roman" w:cs="Times New Roman"/>
                <w:b/>
                <w:lang w:eastAsia="hr-HR"/>
              </w:rPr>
              <w:t>.</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F107808" w14:textId="77777777"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Izvor podataka</w:t>
            </w:r>
          </w:p>
        </w:tc>
        <w:tc>
          <w:tcPr>
            <w:tcW w:w="12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5D9AFB0" w14:textId="65120230"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4</w:t>
            </w:r>
            <w:r w:rsidRPr="00702A1E">
              <w:rPr>
                <w:rFonts w:ascii="Times New Roman" w:eastAsia="Times New Roman" w:hAnsi="Times New Roman" w:cs="Times New Roman"/>
                <w:b/>
                <w:lang w:eastAsia="hr-HR"/>
              </w:rPr>
              <w:t>.</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B35B22D" w14:textId="11AFEEAC"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5</w:t>
            </w:r>
            <w:r w:rsidRPr="00702A1E">
              <w:rPr>
                <w:rFonts w:ascii="Times New Roman" w:eastAsia="Times New Roman" w:hAnsi="Times New Roman" w:cs="Times New Roman"/>
                <w:b/>
                <w:lang w:eastAsia="hr-HR"/>
              </w:rPr>
              <w:t>.</w:t>
            </w:r>
          </w:p>
        </w:tc>
        <w:tc>
          <w:tcPr>
            <w:tcW w:w="12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6014DE0" w14:textId="0746F30A" w:rsidR="00FA6BF1" w:rsidRPr="00702A1E" w:rsidRDefault="00091387">
            <w:pPr>
              <w:widowControl/>
              <w:spacing w:after="0" w:line="240" w:lineRule="auto"/>
              <w:jc w:val="center"/>
              <w:textAlignment w:val="baseline"/>
              <w:rPr>
                <w:rFonts w:ascii="Times New Roman" w:hAnsi="Times New Roman" w:cs="Times New Roman"/>
              </w:rPr>
            </w:pPr>
            <w:r w:rsidRPr="00702A1E">
              <w:rPr>
                <w:rFonts w:ascii="Times New Roman" w:eastAsia="Times New Roman" w:hAnsi="Times New Roman" w:cs="Times New Roman"/>
                <w:b/>
                <w:lang w:eastAsia="hr-HR"/>
              </w:rPr>
              <w:t>Ciljana vrijednost 202</w:t>
            </w:r>
            <w:r w:rsidR="00E76181" w:rsidRPr="00702A1E">
              <w:rPr>
                <w:rFonts w:ascii="Times New Roman" w:eastAsia="Times New Roman" w:hAnsi="Times New Roman" w:cs="Times New Roman"/>
                <w:b/>
                <w:lang w:eastAsia="hr-HR"/>
              </w:rPr>
              <w:t>6</w:t>
            </w:r>
            <w:r w:rsidRPr="00702A1E">
              <w:rPr>
                <w:rFonts w:ascii="Times New Roman" w:eastAsia="Times New Roman" w:hAnsi="Times New Roman" w:cs="Times New Roman"/>
                <w:b/>
                <w:lang w:eastAsia="hr-HR"/>
              </w:rPr>
              <w:t>.</w:t>
            </w:r>
          </w:p>
        </w:tc>
      </w:tr>
      <w:tr w:rsidR="00FA6BF1" w:rsidRPr="00702A1E" w14:paraId="3E45E6D7" w14:textId="77777777" w:rsidTr="00FB1800">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677B82"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Smanjenje broja zaposlenika zaraženih bolesti COVID-19 na radnom mjestu u odnosu na ukupan broj zaposlenika</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F9E63F" w14:textId="77777777" w:rsidR="00FA6BF1" w:rsidRPr="00702A1E" w:rsidRDefault="00091387">
            <w:pPr>
              <w:widowControl/>
              <w:spacing w:after="0" w:line="240" w:lineRule="auto"/>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Nabavom zaštitne opreme i sredstava za dezinfekciju smanjiti će se mogućnost zaraze zaposlenika bolesti COVID-19 na radnom mjestu</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02C552" w14:textId="77777777" w:rsidR="00FA6BF1" w:rsidRPr="00702A1E" w:rsidRDefault="00091387" w:rsidP="00E76181">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58AABE" w14:textId="38635E37" w:rsidR="00FA6BF1" w:rsidRPr="00702A1E" w:rsidRDefault="00E76181" w:rsidP="00E76181">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9AE73C" w14:textId="59D81761" w:rsidR="00FA6BF1" w:rsidRPr="00702A1E" w:rsidRDefault="00091387" w:rsidP="00E76181">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Z</w:t>
            </w:r>
            <w:r w:rsidR="00A43490" w:rsidRPr="00702A1E">
              <w:rPr>
                <w:rFonts w:ascii="Times New Roman" w:eastAsia="Times New Roman" w:hAnsi="Times New Roman" w:cs="Times New Roman"/>
                <w:lang w:eastAsia="hr-HR"/>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A5A2B8" w14:textId="559F4A7F" w:rsidR="00FA6BF1" w:rsidRPr="00702A1E" w:rsidRDefault="00E76181" w:rsidP="00E76181">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0</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6046FB" w14:textId="77777777" w:rsidR="00FA6BF1" w:rsidRPr="00702A1E" w:rsidRDefault="00091387" w:rsidP="00E76181">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8FF8BA" w14:textId="77777777" w:rsidR="00FA6BF1" w:rsidRPr="00702A1E" w:rsidRDefault="00091387" w:rsidP="00E76181">
            <w:pPr>
              <w:widowControl/>
              <w:spacing w:after="0" w:line="240" w:lineRule="auto"/>
              <w:jc w:val="center"/>
              <w:textAlignment w:val="baseline"/>
              <w:rPr>
                <w:rFonts w:ascii="Times New Roman" w:eastAsia="Times New Roman" w:hAnsi="Times New Roman" w:cs="Times New Roman"/>
                <w:lang w:eastAsia="hr-HR"/>
              </w:rPr>
            </w:pPr>
            <w:r w:rsidRPr="00702A1E">
              <w:rPr>
                <w:rFonts w:ascii="Times New Roman" w:eastAsia="Times New Roman" w:hAnsi="Times New Roman" w:cs="Times New Roman"/>
                <w:lang w:eastAsia="hr-HR"/>
              </w:rPr>
              <w:t>0</w:t>
            </w:r>
          </w:p>
        </w:tc>
      </w:tr>
    </w:tbl>
    <w:p w14:paraId="1AB595D5" w14:textId="68199A28" w:rsidR="00FA6BF1" w:rsidRPr="00702A1E" w:rsidRDefault="00FA6BF1">
      <w:pPr>
        <w:pStyle w:val="Standard"/>
        <w:rPr>
          <w:sz w:val="22"/>
          <w:szCs w:val="22"/>
        </w:rPr>
      </w:pPr>
    </w:p>
    <w:p w14:paraId="76808A5B" w14:textId="77777777" w:rsidR="00625DC9" w:rsidRPr="00702A1E" w:rsidRDefault="00625DC9">
      <w:pPr>
        <w:pStyle w:val="Standard"/>
        <w:rPr>
          <w:sz w:val="22"/>
          <w:szCs w:val="22"/>
        </w:rPr>
      </w:pPr>
    </w:p>
    <w:p w14:paraId="393BEC3D" w14:textId="52AE88FA" w:rsidR="00D9709A" w:rsidRPr="00702A1E" w:rsidRDefault="00D9709A">
      <w:pPr>
        <w:pStyle w:val="Standard"/>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2474"/>
        <w:gridCol w:w="3971"/>
      </w:tblGrid>
      <w:tr w:rsidR="008F06F1" w:rsidRPr="00702A1E" w14:paraId="6195E029" w14:textId="77777777" w:rsidTr="003954B9">
        <w:trPr>
          <w:trHeight w:val="517"/>
        </w:trPr>
        <w:tc>
          <w:tcPr>
            <w:tcW w:w="2822" w:type="dxa"/>
            <w:shd w:val="clear" w:color="auto" w:fill="D9D9D9"/>
          </w:tcPr>
          <w:p w14:paraId="4C13F8C4"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Aktivnost/ Projekt:</w:t>
            </w:r>
          </w:p>
        </w:tc>
        <w:tc>
          <w:tcPr>
            <w:tcW w:w="2226" w:type="dxa"/>
            <w:shd w:val="clear" w:color="auto" w:fill="auto"/>
          </w:tcPr>
          <w:p w14:paraId="353B4701"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A003020T302013</w:t>
            </w:r>
          </w:p>
        </w:tc>
        <w:tc>
          <w:tcPr>
            <w:tcW w:w="4240" w:type="dxa"/>
            <w:shd w:val="clear" w:color="auto" w:fill="auto"/>
          </w:tcPr>
          <w:p w14:paraId="3E1FB5FF"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Nacionalni plan oporavka i otpornosti - Centralno financiranje specijalizacija doktora medicine</w:t>
            </w:r>
          </w:p>
        </w:tc>
      </w:tr>
      <w:tr w:rsidR="008F06F1" w:rsidRPr="00702A1E" w14:paraId="2FBD0ABA" w14:textId="77777777" w:rsidTr="003954B9">
        <w:trPr>
          <w:trHeight w:val="517"/>
        </w:trPr>
        <w:tc>
          <w:tcPr>
            <w:tcW w:w="2822" w:type="dxa"/>
            <w:shd w:val="clear" w:color="auto" w:fill="D9D9D9"/>
          </w:tcPr>
          <w:p w14:paraId="4DC56DA5"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Zakonska i druga pravna osnova:</w:t>
            </w:r>
          </w:p>
        </w:tc>
        <w:tc>
          <w:tcPr>
            <w:tcW w:w="6466" w:type="dxa"/>
            <w:gridSpan w:val="2"/>
            <w:shd w:val="clear" w:color="auto" w:fill="auto"/>
          </w:tcPr>
          <w:p w14:paraId="2A0C2A3C" w14:textId="77777777" w:rsidR="008F06F1" w:rsidRPr="00702A1E" w:rsidRDefault="008F06F1" w:rsidP="00C97AA2">
            <w:pPr>
              <w:widowControl/>
              <w:suppressAutoHyphens w:val="0"/>
              <w:autoSpaceDN/>
              <w:spacing w:after="0" w:line="240" w:lineRule="auto"/>
              <w:rPr>
                <w:rFonts w:ascii="Times New Roman" w:eastAsia="Symbol" w:hAnsi="Times New Roman" w:cs="Times New Roman"/>
                <w:color w:val="000000"/>
                <w:kern w:val="0"/>
                <w:lang w:val="pl-PL" w:eastAsia="hr-HR"/>
              </w:rPr>
            </w:pPr>
            <w:r w:rsidRPr="00702A1E">
              <w:rPr>
                <w:rFonts w:ascii="Times New Roman" w:eastAsia="Symbol" w:hAnsi="Times New Roman" w:cs="Times New Roman"/>
                <w:kern w:val="0"/>
                <w:lang w:val="pl-PL" w:eastAsia="hr-HR"/>
              </w:rPr>
              <w:t xml:space="preserve">Zakon o zdravstvenoj zaštiti, Zakon o obveznom zdravstvenom osiguranju, Pravilnik o mjerilima za prijem specijalizanta, Pravilnik o specijalističkom usavršavanju doktora medicine, Pravilnik o proračunskom računovodstvu i računskom planu, Kolektivni ugovor za djelatnost zdravstva i zdravstvenog osiguranja, Nacionalni plan razvoja zdravstva 2021.-2027., </w:t>
            </w:r>
            <w:r w:rsidRPr="00702A1E">
              <w:rPr>
                <w:rFonts w:ascii="Times New Roman" w:eastAsia="Times New Roman" w:hAnsi="Times New Roman" w:cs="Times New Roman"/>
                <w:kern w:val="0"/>
                <w:lang w:eastAsia="hr-HR"/>
              </w:rPr>
              <w:t>Odluka o financiranju projekta specijalističkog usavršavanja za djelatnosti prihvatljive za financiranje iz sredstava Centralno financiranje specijalizacija u okviru Nacionalnog plana oporavka i otpornosti 2021.-2026.</w:t>
            </w:r>
          </w:p>
        </w:tc>
      </w:tr>
      <w:tr w:rsidR="008F06F1" w:rsidRPr="00702A1E" w14:paraId="58E23752" w14:textId="77777777" w:rsidTr="003954B9">
        <w:trPr>
          <w:trHeight w:val="257"/>
        </w:trPr>
        <w:tc>
          <w:tcPr>
            <w:tcW w:w="2822" w:type="dxa"/>
            <w:shd w:val="clear" w:color="auto" w:fill="D9D9D9"/>
          </w:tcPr>
          <w:p w14:paraId="02514DA0"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 xml:space="preserve">Opis aktivnosti / projekta </w:t>
            </w:r>
          </w:p>
        </w:tc>
        <w:tc>
          <w:tcPr>
            <w:tcW w:w="64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41BB49E" w14:textId="77777777"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Cilj ovog projekta je, kroz financiranje specijalističkog usavršavanja doktora medicine, osigurati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35ECBB70" w14:textId="77777777"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Mrežom hitne medicine određen je broj timova hitne medicine koji treba biti uspostavljen na području Splitsko-dalmatinske županije. Sukladno standardu za popunjavanje timova potrebno je imati zaposleno 90 doktora specijalista hitne medicine. Međutim, u Zavodu je zaposleno 40 doktora specijalista hitne medicine, što je svakako nedovoljno, posebice u slučaju pojave zdravstvene krize poput pandemije COVID-19. </w:t>
            </w:r>
          </w:p>
          <w:p w14:paraId="55DF7E56" w14:textId="77777777"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U svrhu pomoći zemljama članicama, na razini Europske unije je donesen izvanredni instrument financiranja Mehanizam za oporavak i otpornost koji ima za cilj, između ostalog, ojačati zdravstveni sustav u slučaju nove krize.</w:t>
            </w:r>
          </w:p>
          <w:p w14:paraId="79FE7ECF" w14:textId="24D3FABF"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bookmarkStart w:id="3" w:name="_Hlk136515726"/>
            <w:r w:rsidRPr="00702A1E">
              <w:rPr>
                <w:rFonts w:ascii="Times New Roman" w:eastAsia="Times New Roman" w:hAnsi="Times New Roman" w:cs="Times New Roman"/>
                <w:kern w:val="0"/>
                <w:lang w:eastAsia="hr-HR"/>
              </w:rPr>
              <w:t>Prijavom projek</w:t>
            </w:r>
            <w:r w:rsidR="001A373F" w:rsidRPr="00702A1E">
              <w:rPr>
                <w:rFonts w:ascii="Times New Roman" w:eastAsia="Times New Roman" w:hAnsi="Times New Roman" w:cs="Times New Roman"/>
                <w:kern w:val="0"/>
                <w:lang w:eastAsia="hr-HR"/>
              </w:rPr>
              <w:t>a</w:t>
            </w:r>
            <w:r w:rsidRPr="00702A1E">
              <w:rPr>
                <w:rFonts w:ascii="Times New Roman" w:eastAsia="Times New Roman" w:hAnsi="Times New Roman" w:cs="Times New Roman"/>
                <w:kern w:val="0"/>
                <w:lang w:eastAsia="hr-HR"/>
              </w:rPr>
              <w:t>ta specijalističkog usavršavanja doktora iz hitne medicine prihvatljiva za financiranje iz sredstava Centralno financiranje specijalizacija u okviru Nacionalnog plana oporavka i otpornosti za ra</w:t>
            </w:r>
            <w:r w:rsidRPr="00702A1E">
              <w:rPr>
                <w:rFonts w:ascii="Times New Roman" w:eastAsia="Times New Roman" w:hAnsi="Times New Roman" w:cs="Times New Roman"/>
                <w:kern w:val="0"/>
                <w:lang w:eastAsia="hr-HR"/>
              </w:rPr>
              <w:lastRenderedPageBreak/>
              <w:t>zdoblje 2021.-2026., a koji proizlazi iz instrumenta Mehanizam za oporavak i otpornost, Zavodu za hitnu medicinu SDŽ biti će omogućeno financiranje</w:t>
            </w:r>
            <w:r w:rsidR="00060383" w:rsidRPr="00702A1E">
              <w:rPr>
                <w:rFonts w:ascii="Times New Roman" w:eastAsia="Times New Roman" w:hAnsi="Times New Roman" w:cs="Times New Roman"/>
                <w:kern w:val="0"/>
                <w:lang w:eastAsia="hr-HR"/>
              </w:rPr>
              <w:t xml:space="preserve"> sedam </w:t>
            </w:r>
            <w:r w:rsidRPr="00702A1E">
              <w:rPr>
                <w:rFonts w:ascii="Times New Roman" w:eastAsia="Times New Roman" w:hAnsi="Times New Roman" w:cs="Times New Roman"/>
                <w:kern w:val="0"/>
                <w:lang w:eastAsia="hr-HR"/>
              </w:rPr>
              <w:t>specijalizacij</w:t>
            </w:r>
            <w:r w:rsidR="00060383" w:rsidRPr="00702A1E">
              <w:rPr>
                <w:rFonts w:ascii="Times New Roman" w:eastAsia="Times New Roman" w:hAnsi="Times New Roman" w:cs="Times New Roman"/>
                <w:kern w:val="0"/>
                <w:lang w:eastAsia="hr-HR"/>
              </w:rPr>
              <w:t>a</w:t>
            </w:r>
            <w:r w:rsidRPr="00702A1E">
              <w:rPr>
                <w:rFonts w:ascii="Times New Roman" w:eastAsia="Times New Roman" w:hAnsi="Times New Roman" w:cs="Times New Roman"/>
                <w:kern w:val="0"/>
                <w:lang w:eastAsia="hr-HR"/>
              </w:rPr>
              <w:t xml:space="preserve"> doktora iz hitne medicine, koje se financiraju 100 % sredstvima fondova EU u okviru Nacionalnog plana oporavka i otpornosti 2021.-2026</w:t>
            </w:r>
            <w:bookmarkEnd w:id="3"/>
            <w:r w:rsidRPr="00702A1E">
              <w:rPr>
                <w:rFonts w:ascii="Times New Roman" w:eastAsia="Times New Roman" w:hAnsi="Times New Roman" w:cs="Times New Roman"/>
                <w:kern w:val="0"/>
                <w:lang w:eastAsia="hr-HR"/>
              </w:rPr>
              <w:t xml:space="preserve">.. </w:t>
            </w:r>
          </w:p>
          <w:p w14:paraId="3353B5AC" w14:textId="77777777" w:rsidR="008F06F1" w:rsidRPr="00702A1E" w:rsidRDefault="008F06F1"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Specijalizacija iz hitne medicine traje 63 mjeseca.</w:t>
            </w:r>
          </w:p>
          <w:p w14:paraId="2D6D65AC" w14:textId="0CA98523" w:rsidR="008F06F1" w:rsidRPr="00702A1E" w:rsidRDefault="008F06F1" w:rsidP="00C97AA2">
            <w:pPr>
              <w:widowControl/>
              <w:suppressAutoHyphens w:val="0"/>
              <w:autoSpaceDN/>
              <w:spacing w:after="0" w:line="240" w:lineRule="auto"/>
              <w:jc w:val="both"/>
              <w:rPr>
                <w:rFonts w:ascii="Times New Roman" w:eastAsia="Times New Roman" w:hAnsi="Times New Roman" w:cs="Times New Roman"/>
                <w:bCs/>
                <w:color w:val="000000"/>
                <w:kern w:val="0"/>
                <w:lang w:eastAsia="hr-HR"/>
              </w:rPr>
            </w:pPr>
            <w:r w:rsidRPr="00702A1E">
              <w:rPr>
                <w:rFonts w:ascii="Times New Roman" w:eastAsia="Times New Roman" w:hAnsi="Times New Roman" w:cs="Times New Roman"/>
                <w:bCs/>
                <w:kern w:val="0"/>
                <w:lang w:eastAsia="hr-HR"/>
              </w:rPr>
              <w:t xml:space="preserve">Ova aktivnost, koja obuhvaća </w:t>
            </w:r>
            <w:r w:rsidR="001A373F" w:rsidRPr="00702A1E">
              <w:rPr>
                <w:rFonts w:ascii="Times New Roman" w:eastAsia="Times New Roman" w:hAnsi="Times New Roman" w:cs="Times New Roman"/>
                <w:bCs/>
                <w:kern w:val="0"/>
                <w:lang w:eastAsia="hr-HR"/>
              </w:rPr>
              <w:t>1,3</w:t>
            </w:r>
            <w:r w:rsidRPr="00702A1E">
              <w:rPr>
                <w:rFonts w:ascii="Times New Roman" w:eastAsia="Times New Roman" w:hAnsi="Times New Roman" w:cs="Times New Roman"/>
                <w:bCs/>
                <w:kern w:val="0"/>
                <w:lang w:eastAsia="hr-HR"/>
              </w:rPr>
              <w:t xml:space="preserve"> % ukupnog plana za 202</w:t>
            </w:r>
            <w:r w:rsidR="001A373F" w:rsidRPr="00702A1E">
              <w:rPr>
                <w:rFonts w:ascii="Times New Roman" w:eastAsia="Times New Roman" w:hAnsi="Times New Roman" w:cs="Times New Roman"/>
                <w:bCs/>
                <w:kern w:val="0"/>
                <w:lang w:eastAsia="hr-HR"/>
              </w:rPr>
              <w:t>4</w:t>
            </w:r>
            <w:r w:rsidRPr="00702A1E">
              <w:rPr>
                <w:rFonts w:ascii="Times New Roman" w:eastAsia="Times New Roman" w:hAnsi="Times New Roman" w:cs="Times New Roman"/>
                <w:bCs/>
                <w:kern w:val="0"/>
                <w:lang w:eastAsia="hr-HR"/>
              </w:rPr>
              <w:t xml:space="preserve">.g. sastoji se od rashoda za zaposlene i materijalnih rashoda koji se financiraju u cijelosti iz </w:t>
            </w:r>
            <w:r w:rsidRPr="00702A1E">
              <w:rPr>
                <w:rFonts w:ascii="Times New Roman" w:eastAsia="Times New Roman" w:hAnsi="Times New Roman" w:cs="Times New Roman"/>
                <w:kern w:val="0"/>
                <w:lang w:eastAsia="hr-HR"/>
              </w:rPr>
              <w:t>Nacionalnog plana oporavka i otpornosti (izvor pomoći EU)</w:t>
            </w:r>
            <w:r w:rsidRPr="00702A1E">
              <w:rPr>
                <w:rFonts w:ascii="Times New Roman" w:eastAsia="Times New Roman" w:hAnsi="Times New Roman" w:cs="Times New Roman"/>
                <w:bCs/>
                <w:kern w:val="0"/>
                <w:lang w:eastAsia="hr-HR"/>
              </w:rPr>
              <w:t xml:space="preserve"> u iznosu od </w:t>
            </w:r>
            <w:r w:rsidR="001A373F" w:rsidRPr="00702A1E">
              <w:rPr>
                <w:rFonts w:ascii="Times New Roman" w:eastAsia="Times New Roman" w:hAnsi="Times New Roman" w:cs="Times New Roman"/>
                <w:bCs/>
                <w:kern w:val="0"/>
                <w:lang w:eastAsia="hr-HR"/>
              </w:rPr>
              <w:t>317.000,00</w:t>
            </w:r>
            <w:r w:rsidRPr="00702A1E">
              <w:rPr>
                <w:rFonts w:ascii="Times New Roman" w:eastAsia="Times New Roman" w:hAnsi="Times New Roman" w:cs="Times New Roman"/>
                <w:bCs/>
                <w:kern w:val="0"/>
                <w:lang w:eastAsia="hr-HR"/>
              </w:rPr>
              <w:t xml:space="preserve"> €.</w:t>
            </w:r>
          </w:p>
        </w:tc>
      </w:tr>
      <w:tr w:rsidR="008F06F1" w:rsidRPr="00702A1E" w14:paraId="5519F403" w14:textId="77777777" w:rsidTr="003954B9">
        <w:trPr>
          <w:trHeight w:val="257"/>
        </w:trPr>
        <w:tc>
          <w:tcPr>
            <w:tcW w:w="2822" w:type="dxa"/>
            <w:shd w:val="clear" w:color="auto" w:fill="D9D9D9"/>
          </w:tcPr>
          <w:p w14:paraId="79713BB2"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lastRenderedPageBreak/>
              <w:t>Obrazloženje izračuna financijskih sredstava</w:t>
            </w:r>
          </w:p>
        </w:tc>
        <w:tc>
          <w:tcPr>
            <w:tcW w:w="6466" w:type="dxa"/>
            <w:gridSpan w:val="2"/>
            <w:shd w:val="clear" w:color="auto" w:fill="auto"/>
          </w:tcPr>
          <w:p w14:paraId="080C25FC" w14:textId="0E32635F" w:rsidR="008F06F1" w:rsidRPr="00702A1E" w:rsidRDefault="00D65ED3" w:rsidP="00060383">
            <w:pPr>
              <w:widowControl/>
              <w:suppressAutoHyphens w:val="0"/>
              <w:autoSpaceDN/>
              <w:spacing w:after="0" w:line="240" w:lineRule="auto"/>
              <w:rPr>
                <w:rFonts w:ascii="Times New Roman" w:eastAsia="Times New Roman" w:hAnsi="Times New Roman" w:cs="Times New Roman"/>
                <w:bCs/>
                <w:color w:val="000000"/>
                <w:kern w:val="0"/>
                <w:lang w:eastAsia="hr-HR"/>
              </w:rPr>
            </w:pPr>
            <w:r w:rsidRPr="00702A1E">
              <w:rPr>
                <w:rFonts w:ascii="Times New Roman" w:eastAsia="Times New Roman" w:hAnsi="Times New Roman" w:cs="Times New Roman"/>
                <w:bCs/>
                <w:color w:val="000000"/>
                <w:kern w:val="0"/>
                <w:lang w:eastAsia="hr-HR"/>
              </w:rPr>
              <w:t>U 2024.g. p</w:t>
            </w:r>
            <w:r w:rsidR="008F06F1" w:rsidRPr="00702A1E">
              <w:rPr>
                <w:rFonts w:ascii="Times New Roman" w:eastAsia="Times New Roman" w:hAnsi="Times New Roman" w:cs="Times New Roman"/>
                <w:bCs/>
                <w:color w:val="000000"/>
                <w:kern w:val="0"/>
                <w:lang w:eastAsia="hr-HR"/>
              </w:rPr>
              <w:t xml:space="preserve">rihodima od pomoći iz Nacionalnog plana oporavka i otpornosti  financirati će se rashodi za plaće </w:t>
            </w:r>
            <w:r w:rsidR="001A373F" w:rsidRPr="00702A1E">
              <w:rPr>
                <w:rFonts w:ascii="Times New Roman" w:eastAsia="Times New Roman" w:hAnsi="Times New Roman" w:cs="Times New Roman"/>
                <w:bCs/>
                <w:color w:val="000000"/>
                <w:kern w:val="0"/>
                <w:lang w:eastAsia="hr-HR"/>
              </w:rPr>
              <w:t>sedam</w:t>
            </w:r>
            <w:r w:rsidR="008F06F1" w:rsidRPr="00702A1E">
              <w:rPr>
                <w:rFonts w:ascii="Times New Roman" w:eastAsia="Times New Roman" w:hAnsi="Times New Roman" w:cs="Times New Roman"/>
                <w:bCs/>
                <w:color w:val="000000"/>
                <w:kern w:val="0"/>
                <w:lang w:eastAsia="hr-HR"/>
              </w:rPr>
              <w:t xml:space="preserve"> doktora medicine u iznosu od </w:t>
            </w:r>
            <w:r w:rsidR="001A373F" w:rsidRPr="00702A1E">
              <w:rPr>
                <w:rFonts w:ascii="Times New Roman" w:eastAsia="Times New Roman" w:hAnsi="Times New Roman" w:cs="Times New Roman"/>
                <w:bCs/>
                <w:color w:val="000000"/>
                <w:kern w:val="0"/>
                <w:lang w:eastAsia="hr-HR"/>
              </w:rPr>
              <w:t>295.000</w:t>
            </w:r>
            <w:r w:rsidR="008F06F1" w:rsidRPr="00702A1E">
              <w:rPr>
                <w:rFonts w:ascii="Times New Roman" w:eastAsia="Times New Roman" w:hAnsi="Times New Roman" w:cs="Times New Roman"/>
                <w:bCs/>
                <w:color w:val="000000"/>
                <w:kern w:val="0"/>
                <w:lang w:eastAsia="hr-HR"/>
              </w:rPr>
              <w:t xml:space="preserve">,00 € što čini </w:t>
            </w:r>
            <w:r w:rsidR="001A373F" w:rsidRPr="00702A1E">
              <w:rPr>
                <w:rFonts w:ascii="Times New Roman" w:eastAsia="Times New Roman" w:hAnsi="Times New Roman" w:cs="Times New Roman"/>
                <w:bCs/>
                <w:color w:val="000000"/>
                <w:kern w:val="0"/>
                <w:lang w:eastAsia="hr-HR"/>
              </w:rPr>
              <w:t>1,2</w:t>
            </w:r>
            <w:r w:rsidR="008F06F1" w:rsidRPr="00702A1E">
              <w:rPr>
                <w:rFonts w:ascii="Times New Roman" w:eastAsia="Times New Roman" w:hAnsi="Times New Roman" w:cs="Times New Roman"/>
                <w:bCs/>
                <w:color w:val="000000"/>
                <w:kern w:val="0"/>
                <w:lang w:eastAsia="hr-HR"/>
              </w:rPr>
              <w:t xml:space="preserve"> % ukupnih rashoda te drugi materijalni rashodi u iznosu od </w:t>
            </w:r>
            <w:r w:rsidR="001A373F" w:rsidRPr="00702A1E">
              <w:rPr>
                <w:rFonts w:ascii="Times New Roman" w:eastAsia="Times New Roman" w:hAnsi="Times New Roman" w:cs="Times New Roman"/>
                <w:bCs/>
                <w:color w:val="000000"/>
                <w:kern w:val="0"/>
                <w:lang w:eastAsia="hr-HR"/>
              </w:rPr>
              <w:t>22.000,</w:t>
            </w:r>
            <w:r w:rsidR="008F06F1" w:rsidRPr="00702A1E">
              <w:rPr>
                <w:rFonts w:ascii="Times New Roman" w:eastAsia="Times New Roman" w:hAnsi="Times New Roman" w:cs="Times New Roman"/>
                <w:bCs/>
                <w:color w:val="000000"/>
                <w:kern w:val="0"/>
                <w:lang w:eastAsia="hr-HR"/>
              </w:rPr>
              <w:t>00 € što čini 0,1 % ukupnih rashoda.</w:t>
            </w:r>
            <w:r w:rsidRPr="00702A1E">
              <w:rPr>
                <w:rFonts w:ascii="Times New Roman" w:eastAsia="Times New Roman" w:hAnsi="Times New Roman" w:cs="Times New Roman"/>
                <w:bCs/>
                <w:color w:val="000000"/>
                <w:kern w:val="0"/>
                <w:lang w:eastAsia="hr-HR"/>
              </w:rPr>
              <w:t xml:space="preserve"> Za iduće dvije godine planiraju se sredstva u istom iznosu uravnoteženo prihodi i rashodi.</w:t>
            </w:r>
          </w:p>
        </w:tc>
      </w:tr>
      <w:tr w:rsidR="008F06F1" w:rsidRPr="00702A1E" w14:paraId="37ECA924" w14:textId="77777777" w:rsidTr="003954B9">
        <w:trPr>
          <w:trHeight w:val="257"/>
        </w:trPr>
        <w:tc>
          <w:tcPr>
            <w:tcW w:w="0" w:type="auto"/>
            <w:gridSpan w:val="3"/>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1723"/>
              <w:gridCol w:w="1693"/>
              <w:gridCol w:w="1495"/>
              <w:gridCol w:w="1450"/>
              <w:gridCol w:w="1551"/>
            </w:tblGrid>
            <w:tr w:rsidR="00820E7E" w:rsidRPr="00702A1E" w14:paraId="36762398" w14:textId="77777777" w:rsidTr="00FB1800">
              <w:trPr>
                <w:trHeight w:val="219"/>
              </w:trPr>
              <w:tc>
                <w:tcPr>
                  <w:tcW w:w="0" w:type="auto"/>
                  <w:shd w:val="clear" w:color="auto" w:fill="F2F2F2"/>
                </w:tcPr>
                <w:p w14:paraId="5FB2EB28"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Izvršeno 2022.</w:t>
                  </w:r>
                </w:p>
              </w:tc>
              <w:tc>
                <w:tcPr>
                  <w:tcW w:w="0" w:type="auto"/>
                  <w:shd w:val="clear" w:color="auto" w:fill="F2F2F2"/>
                </w:tcPr>
                <w:p w14:paraId="6DF45617" w14:textId="71745780"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820E7E">
                    <w:rPr>
                      <w:rFonts w:ascii="Times New Roman" w:hAnsi="Times New Roman" w:cs="Times New Roman"/>
                      <w:b/>
                      <w:bCs/>
                      <w:color w:val="000000"/>
                    </w:rPr>
                    <w:t>Financijski plan 2023.</w:t>
                  </w:r>
                </w:p>
              </w:tc>
              <w:tc>
                <w:tcPr>
                  <w:tcW w:w="0" w:type="auto"/>
                  <w:shd w:val="clear" w:color="auto" w:fill="F2F2F2"/>
                </w:tcPr>
                <w:p w14:paraId="51979429" w14:textId="1BC76C9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820E7E">
                    <w:rPr>
                      <w:rFonts w:ascii="Times New Roman" w:hAnsi="Times New Roman" w:cs="Times New Roman"/>
                      <w:b/>
                      <w:bCs/>
                      <w:color w:val="000000"/>
                    </w:rPr>
                    <w:t>II. Rebalans 2023.€</w:t>
                  </w:r>
                </w:p>
              </w:tc>
              <w:tc>
                <w:tcPr>
                  <w:tcW w:w="1495" w:type="dxa"/>
                  <w:shd w:val="clear" w:color="auto" w:fill="F2F2F2"/>
                </w:tcPr>
                <w:p w14:paraId="3F1BC0A3"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Plan 2024.</w:t>
                  </w:r>
                </w:p>
              </w:tc>
              <w:tc>
                <w:tcPr>
                  <w:tcW w:w="1450" w:type="dxa"/>
                  <w:shd w:val="clear" w:color="auto" w:fill="F2F2F2"/>
                </w:tcPr>
                <w:p w14:paraId="26B9FB97"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Projekcija 2025.</w:t>
                  </w:r>
                </w:p>
              </w:tc>
              <w:tc>
                <w:tcPr>
                  <w:tcW w:w="0" w:type="auto"/>
                  <w:shd w:val="clear" w:color="auto" w:fill="F2F2F2"/>
                </w:tcPr>
                <w:p w14:paraId="47F5A98B"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Projekcija 2026.</w:t>
                  </w:r>
                </w:p>
              </w:tc>
            </w:tr>
            <w:tr w:rsidR="00820E7E" w:rsidRPr="00702A1E" w14:paraId="60229083" w14:textId="77777777" w:rsidTr="00FB1800">
              <w:trPr>
                <w:trHeight w:val="2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405FD9" w14:textId="534B9D25"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A9FBAC" w14:textId="16D8643E"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0,00 €</w:t>
                  </w:r>
                </w:p>
              </w:tc>
              <w:tc>
                <w:tcPr>
                  <w:tcW w:w="0" w:type="auto"/>
                  <w:tcBorders>
                    <w:top w:val="single" w:sz="4" w:space="0" w:color="auto"/>
                    <w:left w:val="single" w:sz="4" w:space="0" w:color="auto"/>
                    <w:bottom w:val="single" w:sz="4" w:space="0" w:color="auto"/>
                    <w:right w:val="single" w:sz="4" w:space="0" w:color="auto"/>
                  </w:tcBorders>
                </w:tcPr>
                <w:p w14:paraId="6928C86E" w14:textId="24381278"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50.510,00 €</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C9E00B9" w14:textId="068A6329"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317.000,00 €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8E8E1A" w14:textId="060ADE0F"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317.000,00 €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E4D91" w14:textId="69F5A7D5"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kern w:val="0"/>
                      <w:lang w:eastAsia="hr-HR"/>
                    </w:rPr>
                  </w:pPr>
                  <w:r w:rsidRPr="00702A1E">
                    <w:rPr>
                      <w:rFonts w:ascii="Times New Roman" w:eastAsia="Times New Roman" w:hAnsi="Times New Roman" w:cs="Times New Roman"/>
                      <w:b/>
                      <w:bCs/>
                      <w:color w:val="000000"/>
                      <w:kern w:val="0"/>
                      <w:lang w:eastAsia="hr-HR"/>
                    </w:rPr>
                    <w:t>317.000,00 €</w:t>
                  </w:r>
                </w:p>
              </w:tc>
            </w:tr>
          </w:tbl>
          <w:p w14:paraId="290ECD74"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Cs/>
                <w:color w:val="000000"/>
                <w:kern w:val="0"/>
                <w:lang w:eastAsia="hr-HR"/>
              </w:rPr>
            </w:pPr>
          </w:p>
        </w:tc>
      </w:tr>
      <w:tr w:rsidR="008F06F1" w:rsidRPr="00702A1E" w14:paraId="40F85C77" w14:textId="77777777" w:rsidTr="003954B9">
        <w:trPr>
          <w:trHeight w:val="257"/>
        </w:trPr>
        <w:tc>
          <w:tcPr>
            <w:tcW w:w="2822" w:type="dxa"/>
            <w:shd w:val="clear" w:color="auto" w:fill="D9D9D9"/>
          </w:tcPr>
          <w:p w14:paraId="0D21A74B" w14:textId="77777777" w:rsidR="008F06F1" w:rsidRPr="00702A1E" w:rsidRDefault="008F06F1" w:rsidP="008F06F1">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color w:val="000000"/>
                <w:kern w:val="0"/>
                <w:lang w:eastAsia="hr-HR"/>
              </w:rPr>
              <w:t>Obrazloženja odstupanja od projekcija za 2024. i 2025. usvojenih u prošlogodišnjem Proračunu</w:t>
            </w:r>
          </w:p>
        </w:tc>
        <w:tc>
          <w:tcPr>
            <w:tcW w:w="6466" w:type="dxa"/>
            <w:gridSpan w:val="2"/>
            <w:shd w:val="clear" w:color="auto" w:fill="auto"/>
          </w:tcPr>
          <w:p w14:paraId="5F1B9A39" w14:textId="3DDE3C4C" w:rsidR="008F06F1" w:rsidRPr="00702A1E" w:rsidRDefault="008F06F1" w:rsidP="008F06F1">
            <w:pPr>
              <w:widowControl/>
              <w:suppressAutoHyphens w:val="0"/>
              <w:autoSpaceDN/>
              <w:spacing w:after="0" w:line="240" w:lineRule="auto"/>
              <w:rPr>
                <w:rFonts w:ascii="Times New Roman" w:eastAsia="Times New Roman" w:hAnsi="Times New Roman" w:cs="Times New Roman"/>
                <w:bCs/>
                <w:color w:val="000000"/>
                <w:kern w:val="0"/>
                <w:lang w:eastAsia="hr-HR"/>
              </w:rPr>
            </w:pPr>
            <w:r w:rsidRPr="00702A1E">
              <w:rPr>
                <w:rFonts w:ascii="Times New Roman" w:eastAsia="Times New Roman" w:hAnsi="Times New Roman" w:cs="Times New Roman"/>
                <w:bCs/>
                <w:color w:val="000000"/>
                <w:kern w:val="0"/>
                <w:lang w:eastAsia="hr-HR"/>
              </w:rPr>
              <w:t>Nije primjenjivo jer navedena aktivnost nije bila planirana za 2024. i 2025. g. u prošlogodišnjem Proračunu.</w:t>
            </w:r>
          </w:p>
        </w:tc>
      </w:tr>
    </w:tbl>
    <w:p w14:paraId="6EE1E0A0" w14:textId="77777777" w:rsidR="008F06F1" w:rsidRPr="00702A1E" w:rsidRDefault="008F06F1">
      <w:pPr>
        <w:pStyle w:val="Standard"/>
        <w:rPr>
          <w:sz w:val="22"/>
          <w:szCs w:val="22"/>
        </w:rPr>
      </w:pPr>
    </w:p>
    <w:p w14:paraId="64D34C0E" w14:textId="77777777" w:rsidR="008F06F1" w:rsidRPr="00702A1E" w:rsidRDefault="008F06F1">
      <w:pPr>
        <w:pStyle w:val="Standard"/>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362"/>
        <w:gridCol w:w="1347"/>
        <w:gridCol w:w="738"/>
        <w:gridCol w:w="855"/>
        <w:gridCol w:w="866"/>
        <w:gridCol w:w="866"/>
        <w:gridCol w:w="866"/>
      </w:tblGrid>
      <w:tr w:rsidR="00DB6013" w:rsidRPr="00702A1E" w14:paraId="6FDC7320" w14:textId="77777777" w:rsidTr="00572DD5">
        <w:trPr>
          <w:trHeight w:val="651"/>
        </w:trPr>
        <w:tc>
          <w:tcPr>
            <w:tcW w:w="0" w:type="auto"/>
            <w:shd w:val="clear" w:color="auto" w:fill="D9D9D9"/>
          </w:tcPr>
          <w:p w14:paraId="0F0D7301"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Pokazatelj rezultata</w:t>
            </w:r>
          </w:p>
        </w:tc>
        <w:tc>
          <w:tcPr>
            <w:tcW w:w="0" w:type="auto"/>
            <w:shd w:val="clear" w:color="auto" w:fill="D9D9D9"/>
          </w:tcPr>
          <w:p w14:paraId="1201B539" w14:textId="77777777" w:rsidR="00A5694C" w:rsidRPr="00702A1E" w:rsidRDefault="00A5694C" w:rsidP="00A5694C">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Definicija</w:t>
            </w:r>
          </w:p>
        </w:tc>
        <w:tc>
          <w:tcPr>
            <w:tcW w:w="0" w:type="auto"/>
            <w:shd w:val="clear" w:color="auto" w:fill="D9D9D9"/>
          </w:tcPr>
          <w:p w14:paraId="66920699" w14:textId="77777777" w:rsidR="00A5694C" w:rsidRPr="00702A1E" w:rsidRDefault="00A5694C" w:rsidP="00A5694C">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Jedinica</w:t>
            </w:r>
          </w:p>
        </w:tc>
        <w:tc>
          <w:tcPr>
            <w:tcW w:w="738" w:type="dxa"/>
            <w:shd w:val="clear" w:color="auto" w:fill="D9D9D9"/>
          </w:tcPr>
          <w:p w14:paraId="0B1412F2" w14:textId="77777777" w:rsidR="00A5694C" w:rsidRPr="00702A1E" w:rsidRDefault="00A5694C" w:rsidP="00A5694C">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Polazna vrijednost 2023.</w:t>
            </w:r>
          </w:p>
        </w:tc>
        <w:tc>
          <w:tcPr>
            <w:tcW w:w="855" w:type="dxa"/>
            <w:shd w:val="clear" w:color="auto" w:fill="D9D9D9"/>
          </w:tcPr>
          <w:p w14:paraId="1C278EF4" w14:textId="77777777" w:rsidR="00A5694C" w:rsidRPr="00702A1E" w:rsidRDefault="00A5694C" w:rsidP="00A5694C">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Izvor podataka</w:t>
            </w:r>
          </w:p>
        </w:tc>
        <w:tc>
          <w:tcPr>
            <w:tcW w:w="0" w:type="auto"/>
            <w:shd w:val="clear" w:color="auto" w:fill="D9D9D9"/>
          </w:tcPr>
          <w:p w14:paraId="34A3F398" w14:textId="77777777" w:rsidR="00A5694C" w:rsidRPr="00702A1E" w:rsidRDefault="00A5694C" w:rsidP="00A5694C">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2024.</w:t>
            </w:r>
          </w:p>
        </w:tc>
        <w:tc>
          <w:tcPr>
            <w:tcW w:w="0" w:type="auto"/>
            <w:shd w:val="clear" w:color="auto" w:fill="D9D9D9"/>
          </w:tcPr>
          <w:p w14:paraId="10C4D69A" w14:textId="77777777" w:rsidR="00A5694C" w:rsidRPr="00702A1E" w:rsidRDefault="00A5694C" w:rsidP="00A5694C">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2025.</w:t>
            </w:r>
          </w:p>
        </w:tc>
        <w:tc>
          <w:tcPr>
            <w:tcW w:w="0" w:type="auto"/>
            <w:shd w:val="clear" w:color="auto" w:fill="D9D9D9"/>
          </w:tcPr>
          <w:p w14:paraId="6A699740" w14:textId="77777777" w:rsidR="00A5694C" w:rsidRPr="00702A1E" w:rsidRDefault="00A5694C" w:rsidP="00A5694C">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2026.</w:t>
            </w:r>
          </w:p>
        </w:tc>
      </w:tr>
      <w:tr w:rsidR="00A5694C" w:rsidRPr="00702A1E" w14:paraId="199A613F" w14:textId="77777777" w:rsidTr="00572DD5">
        <w:trPr>
          <w:trHeight w:val="219"/>
        </w:trPr>
        <w:tc>
          <w:tcPr>
            <w:tcW w:w="0" w:type="auto"/>
            <w:tcBorders>
              <w:bottom w:val="single" w:sz="4" w:space="0" w:color="auto"/>
            </w:tcBorders>
            <w:shd w:val="clear" w:color="auto" w:fill="auto"/>
          </w:tcPr>
          <w:p w14:paraId="77397CA5"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Povećanje broja doktora specijalista hitne medicine financiranih iz Nacionalnog plana oporavka i otpornosti</w:t>
            </w:r>
          </w:p>
        </w:tc>
        <w:tc>
          <w:tcPr>
            <w:tcW w:w="0" w:type="auto"/>
            <w:tcBorders>
              <w:bottom w:val="single" w:sz="4" w:space="0" w:color="auto"/>
            </w:tcBorders>
            <w:shd w:val="clear" w:color="auto" w:fill="auto"/>
          </w:tcPr>
          <w:p w14:paraId="736FC70A"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Specijalizacijom doktora hitne medicine izravno se doprinosi ciljevima Nacionalnog plana oporavka i otpornosti, odnosno većem broju medicinskih stručnjaka koji će ojačati zdravstveni sustav u vrijeme krize</w:t>
            </w:r>
          </w:p>
        </w:tc>
        <w:tc>
          <w:tcPr>
            <w:tcW w:w="0" w:type="auto"/>
            <w:tcBorders>
              <w:bottom w:val="single" w:sz="4" w:space="0" w:color="auto"/>
            </w:tcBorders>
          </w:tcPr>
          <w:p w14:paraId="2233C9A3"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Broj specijalista hitne medicine financiranih iz Nacionalnog plana oporavka i otpornosti</w:t>
            </w:r>
          </w:p>
        </w:tc>
        <w:tc>
          <w:tcPr>
            <w:tcW w:w="738" w:type="dxa"/>
            <w:tcBorders>
              <w:bottom w:val="single" w:sz="4" w:space="0" w:color="auto"/>
            </w:tcBorders>
            <w:shd w:val="clear" w:color="auto" w:fill="auto"/>
          </w:tcPr>
          <w:p w14:paraId="37CB478F"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0</w:t>
            </w:r>
          </w:p>
        </w:tc>
        <w:tc>
          <w:tcPr>
            <w:tcW w:w="855" w:type="dxa"/>
            <w:tcBorders>
              <w:bottom w:val="single" w:sz="4" w:space="0" w:color="auto"/>
            </w:tcBorders>
          </w:tcPr>
          <w:p w14:paraId="0C850E85" w14:textId="77777777" w:rsidR="00A5694C" w:rsidRPr="00572DD5" w:rsidRDefault="00A5694C" w:rsidP="00A5694C">
            <w:pPr>
              <w:widowControl/>
              <w:suppressAutoHyphens w:val="0"/>
              <w:autoSpaceDN/>
              <w:spacing w:after="0" w:line="240" w:lineRule="auto"/>
              <w:rPr>
                <w:rFonts w:ascii="Times New Roman" w:eastAsia="Times New Roman" w:hAnsi="Times New Roman" w:cs="Times New Roman"/>
                <w:kern w:val="0"/>
                <w:sz w:val="18"/>
                <w:szCs w:val="18"/>
                <w:lang w:eastAsia="hr-HR"/>
              </w:rPr>
            </w:pPr>
            <w:r w:rsidRPr="00572DD5">
              <w:rPr>
                <w:rFonts w:ascii="Times New Roman" w:eastAsia="Times New Roman" w:hAnsi="Times New Roman" w:cs="Times New Roman"/>
                <w:kern w:val="0"/>
                <w:sz w:val="18"/>
                <w:szCs w:val="18"/>
                <w:lang w:eastAsia="hr-HR"/>
              </w:rPr>
              <w:t xml:space="preserve">  Zavod</w:t>
            </w:r>
          </w:p>
        </w:tc>
        <w:tc>
          <w:tcPr>
            <w:tcW w:w="0" w:type="auto"/>
            <w:tcBorders>
              <w:bottom w:val="single" w:sz="4" w:space="0" w:color="auto"/>
            </w:tcBorders>
            <w:shd w:val="clear" w:color="auto" w:fill="auto"/>
          </w:tcPr>
          <w:p w14:paraId="678AC86D"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0</w:t>
            </w:r>
          </w:p>
          <w:p w14:paraId="5237DBB5"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p>
          <w:p w14:paraId="43F48DFD"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p>
          <w:p w14:paraId="17F7F795"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p>
          <w:p w14:paraId="1EE1CC59"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p>
          <w:p w14:paraId="5769352B"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p>
          <w:p w14:paraId="7A298D5B"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p>
          <w:p w14:paraId="2720DAFD"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p>
        </w:tc>
        <w:tc>
          <w:tcPr>
            <w:tcW w:w="0" w:type="auto"/>
            <w:shd w:val="clear" w:color="auto" w:fill="auto"/>
          </w:tcPr>
          <w:p w14:paraId="327DEA5C"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0</w:t>
            </w:r>
          </w:p>
        </w:tc>
        <w:tc>
          <w:tcPr>
            <w:tcW w:w="0" w:type="auto"/>
            <w:shd w:val="clear" w:color="auto" w:fill="auto"/>
          </w:tcPr>
          <w:p w14:paraId="2394AC15" w14:textId="77777777" w:rsidR="00A5694C" w:rsidRPr="00702A1E" w:rsidRDefault="00A5694C" w:rsidP="00A5694C">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0</w:t>
            </w:r>
          </w:p>
        </w:tc>
      </w:tr>
    </w:tbl>
    <w:p w14:paraId="04F1873F" w14:textId="77777777" w:rsidR="008F06F1" w:rsidRPr="00702A1E" w:rsidRDefault="008F06F1">
      <w:pPr>
        <w:pStyle w:val="Standard"/>
        <w:rPr>
          <w:sz w:val="22"/>
          <w:szCs w:val="22"/>
        </w:rPr>
      </w:pPr>
    </w:p>
    <w:p w14:paraId="281C2554" w14:textId="77777777" w:rsidR="008F06F1" w:rsidRPr="00702A1E" w:rsidRDefault="008F06F1">
      <w:pPr>
        <w:pStyle w:val="Standard"/>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457"/>
        <w:gridCol w:w="4050"/>
      </w:tblGrid>
      <w:tr w:rsidR="00DB6013" w:rsidRPr="00702A1E" w14:paraId="2359F42C" w14:textId="77777777" w:rsidTr="003954B9">
        <w:trPr>
          <w:trHeight w:val="517"/>
        </w:trPr>
        <w:tc>
          <w:tcPr>
            <w:tcW w:w="2823" w:type="dxa"/>
            <w:shd w:val="clear" w:color="auto" w:fill="D9D9D9"/>
          </w:tcPr>
          <w:p w14:paraId="0ECCA093"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Aktivnost/ Projekt:</w:t>
            </w:r>
          </w:p>
        </w:tc>
        <w:tc>
          <w:tcPr>
            <w:tcW w:w="2218" w:type="dxa"/>
            <w:tcBorders>
              <w:top w:val="single" w:sz="4" w:space="0" w:color="auto"/>
            </w:tcBorders>
            <w:shd w:val="clear" w:color="auto" w:fill="auto"/>
          </w:tcPr>
          <w:p w14:paraId="5B38F10E"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A003020T302012</w:t>
            </w:r>
          </w:p>
        </w:tc>
        <w:tc>
          <w:tcPr>
            <w:tcW w:w="4247" w:type="dxa"/>
            <w:tcBorders>
              <w:top w:val="single" w:sz="4" w:space="0" w:color="auto"/>
            </w:tcBorders>
            <w:shd w:val="clear" w:color="auto" w:fill="auto"/>
          </w:tcPr>
          <w:p w14:paraId="32849521"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 xml:space="preserve">Nacionalni plan oporavka i otpornosti - Specijalističko usavršavanje </w:t>
            </w:r>
            <w:proofErr w:type="spellStart"/>
            <w:r w:rsidRPr="00702A1E">
              <w:rPr>
                <w:rFonts w:ascii="Times New Roman" w:eastAsia="Times New Roman" w:hAnsi="Times New Roman" w:cs="Times New Roman"/>
                <w:b/>
                <w:bCs/>
                <w:color w:val="000000"/>
                <w:kern w:val="0"/>
                <w:lang w:eastAsia="hr-HR"/>
              </w:rPr>
              <w:t>med.sestara</w:t>
            </w:r>
            <w:proofErr w:type="spellEnd"/>
            <w:r w:rsidRPr="00702A1E">
              <w:rPr>
                <w:rFonts w:ascii="Times New Roman" w:eastAsia="Times New Roman" w:hAnsi="Times New Roman" w:cs="Times New Roman"/>
                <w:b/>
                <w:bCs/>
                <w:color w:val="000000"/>
                <w:kern w:val="0"/>
                <w:lang w:eastAsia="hr-HR"/>
              </w:rPr>
              <w:t xml:space="preserve"> i tehničara</w:t>
            </w:r>
          </w:p>
        </w:tc>
      </w:tr>
      <w:tr w:rsidR="00DB6013" w:rsidRPr="00702A1E" w14:paraId="2DE72F9D" w14:textId="77777777" w:rsidTr="003954B9">
        <w:trPr>
          <w:trHeight w:val="517"/>
        </w:trPr>
        <w:tc>
          <w:tcPr>
            <w:tcW w:w="2823" w:type="dxa"/>
            <w:shd w:val="clear" w:color="auto" w:fill="D9D9D9"/>
          </w:tcPr>
          <w:p w14:paraId="4CF90603"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Zakonska i druga pravna osnova:</w:t>
            </w:r>
          </w:p>
        </w:tc>
        <w:tc>
          <w:tcPr>
            <w:tcW w:w="6465" w:type="dxa"/>
            <w:gridSpan w:val="2"/>
            <w:shd w:val="clear" w:color="auto" w:fill="auto"/>
          </w:tcPr>
          <w:p w14:paraId="08688C9E" w14:textId="203CB582" w:rsidR="00DB6013" w:rsidRPr="00702A1E" w:rsidRDefault="00DB6013" w:rsidP="00C97AA2">
            <w:pPr>
              <w:widowControl/>
              <w:suppressAutoHyphens w:val="0"/>
              <w:autoSpaceDN/>
              <w:spacing w:after="0" w:line="240" w:lineRule="auto"/>
              <w:rPr>
                <w:rFonts w:ascii="Times New Roman" w:eastAsia="Symbol" w:hAnsi="Times New Roman" w:cs="Times New Roman"/>
                <w:color w:val="000000"/>
                <w:kern w:val="0"/>
                <w:lang w:val="pl-PL" w:eastAsia="hr-HR"/>
              </w:rPr>
            </w:pPr>
            <w:r w:rsidRPr="00702A1E">
              <w:rPr>
                <w:rFonts w:ascii="Times New Roman" w:eastAsia="Symbol" w:hAnsi="Times New Roman" w:cs="Times New Roman"/>
                <w:kern w:val="0"/>
                <w:lang w:val="pl-PL" w:eastAsia="hr-HR"/>
              </w:rPr>
              <w:t xml:space="preserve">Zakon o zdravstvenoj zaštiti, Zakon o obveznom zdravstvenom osiguranju,  Pravilnik o specijalističkom usavršavanju prvostupnika sestrinstva u djelatnosti hitne medicine, Pravilnik o izmjenama pravilnika o specijalističkom usavršavanju prvostupnika sestrinstva u djelatnosti hitne medicine, Pravilnik o proračunskom računovodstvu i računskom planu, Kolektivni ugovor za djelatnost zdravstva i zdravstvenog osiguranja, Nacionalni plan razvoja zdravstva 2021.-2027., </w:t>
            </w:r>
            <w:r w:rsidRPr="00702A1E">
              <w:rPr>
                <w:rFonts w:ascii="Times New Roman" w:eastAsia="Times New Roman" w:hAnsi="Times New Roman" w:cs="Times New Roman"/>
                <w:kern w:val="0"/>
                <w:lang w:eastAsia="hr-HR"/>
              </w:rPr>
              <w:t xml:space="preserve">Odluka o financiranju projekta specijalističkog usavršavanja za djelatnosti prihvatljive za financiranje iz sredstava Specijalističko usavršavanje medicinskih sestara i tehničara u djelatnosti hitne medicine u </w:t>
            </w:r>
            <w:r w:rsidRPr="00702A1E">
              <w:rPr>
                <w:rFonts w:ascii="Times New Roman" w:eastAsia="Times New Roman" w:hAnsi="Times New Roman" w:cs="Times New Roman"/>
                <w:kern w:val="0"/>
                <w:lang w:eastAsia="hr-HR"/>
              </w:rPr>
              <w:lastRenderedPageBreak/>
              <w:t>okviru Nacionalnog plana oporavka i otpornosti 2021.-2026.</w:t>
            </w:r>
            <w:r w:rsidR="00FA03DA" w:rsidRPr="00702A1E">
              <w:rPr>
                <w:rFonts w:ascii="Times New Roman" w:eastAsia="Times New Roman" w:hAnsi="Times New Roman" w:cs="Times New Roman"/>
                <w:kern w:val="0"/>
                <w:lang w:eastAsia="hr-HR"/>
              </w:rPr>
              <w:t>, Odluka o specijalističkom usavršavanju medicinskih sestara i tehničara u djelatnosti hitne medicine financijskim sredstvima Mehanizma za oporavak i otpornost dodijeljenih Ministarstvu zdravstva za provedbu Nacionalnog plana oporavka i otpornosti 2021.-2026.</w:t>
            </w:r>
          </w:p>
        </w:tc>
      </w:tr>
      <w:tr w:rsidR="00DB6013" w:rsidRPr="00702A1E" w14:paraId="63DABC64" w14:textId="77777777" w:rsidTr="003954B9">
        <w:trPr>
          <w:trHeight w:val="257"/>
        </w:trPr>
        <w:tc>
          <w:tcPr>
            <w:tcW w:w="2823" w:type="dxa"/>
            <w:shd w:val="clear" w:color="auto" w:fill="D9D9D9"/>
          </w:tcPr>
          <w:p w14:paraId="191A65F1"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lastRenderedPageBreak/>
              <w:t xml:space="preserve">Opis aktivnosti / projekta </w:t>
            </w:r>
          </w:p>
        </w:tc>
        <w:tc>
          <w:tcPr>
            <w:tcW w:w="6465" w:type="dxa"/>
            <w:gridSpan w:val="2"/>
            <w:shd w:val="clear" w:color="auto" w:fill="auto"/>
          </w:tcPr>
          <w:p w14:paraId="24C5821A" w14:textId="77777777" w:rsidR="00DB6013" w:rsidRPr="00702A1E" w:rsidRDefault="00DB6013"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Cilj ovog projekta je, kroz financiranje specijalističkog usavršavanja medicinskih sestara i tehničara, prvostupnika sestrinstva u djelatnosti hitne medicine, osigurati znanja i vještine odnosno kompetencije za samostalan rad u hitnoj medicinskoj službi. Na taj način usluge hitne medicine postat će dostupnije svim pacijentima što povećava učinkovitost i kvalitetu postojećih timova, čime se osigurava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481CF816" w14:textId="6B8CC051" w:rsidR="00DB6013" w:rsidRPr="00702A1E" w:rsidRDefault="00DB6013" w:rsidP="00C97AA2">
            <w:pPr>
              <w:widowControl/>
              <w:suppressAutoHyphens w:val="0"/>
              <w:autoSpaceDN/>
              <w:snapToGrid w:val="0"/>
              <w:spacing w:after="0" w:line="240" w:lineRule="auto"/>
              <w:jc w:val="both"/>
              <w:rPr>
                <w:rFonts w:ascii="Times New Roman" w:eastAsia="Times New Roman" w:hAnsi="Times New Roman" w:cs="Times New Roman"/>
                <w:kern w:val="0"/>
                <w:highlight w:val="yellow"/>
                <w:lang w:eastAsia="hr-HR"/>
              </w:rPr>
            </w:pPr>
            <w:r w:rsidRPr="0091054B">
              <w:rPr>
                <w:rFonts w:ascii="Times New Roman" w:eastAsia="Times New Roman" w:hAnsi="Times New Roman" w:cs="Times New Roman"/>
                <w:kern w:val="0"/>
                <w:lang w:eastAsia="hr-HR"/>
              </w:rPr>
              <w:t>Pravilnikom o izmjenama pravilnika o specijalističkom usavršavanju prvostupnika sestrinstva u djelatnosti hitne medicine koji je stupio na snagu 30.11.2022.god. propisano je kako najmanje jedan član</w:t>
            </w:r>
            <w:r w:rsidR="00D65ED3" w:rsidRPr="0091054B">
              <w:rPr>
                <w:rFonts w:ascii="Times New Roman" w:eastAsia="Times New Roman" w:hAnsi="Times New Roman" w:cs="Times New Roman"/>
                <w:kern w:val="0"/>
                <w:lang w:eastAsia="hr-HR"/>
              </w:rPr>
              <w:t xml:space="preserve"> tima</w:t>
            </w:r>
            <w:r w:rsidRPr="0091054B">
              <w:rPr>
                <w:rFonts w:ascii="Times New Roman" w:eastAsia="Times New Roman" w:hAnsi="Times New Roman" w:cs="Times New Roman"/>
                <w:kern w:val="0"/>
                <w:lang w:eastAsia="hr-HR"/>
              </w:rPr>
              <w:t xml:space="preserve"> T2, prvostupnik sestrinstva zaposlen u Zavodu, mora u roku tri godine završiti specijal</w:t>
            </w:r>
            <w:r w:rsidR="00FA03DA" w:rsidRPr="0091054B">
              <w:rPr>
                <w:rFonts w:ascii="Times New Roman" w:eastAsia="Times New Roman" w:hAnsi="Times New Roman" w:cs="Times New Roman"/>
                <w:kern w:val="0"/>
                <w:lang w:eastAsia="hr-HR"/>
              </w:rPr>
              <w:t>i</w:t>
            </w:r>
            <w:r w:rsidRPr="0091054B">
              <w:rPr>
                <w:rFonts w:ascii="Times New Roman" w:eastAsia="Times New Roman" w:hAnsi="Times New Roman" w:cs="Times New Roman"/>
                <w:kern w:val="0"/>
                <w:lang w:eastAsia="hr-HR"/>
              </w:rPr>
              <w:t xml:space="preserve">stičko usavršavanje u djelanosti hitne medicine. </w:t>
            </w:r>
            <w:r w:rsidRPr="00702A1E">
              <w:rPr>
                <w:rFonts w:ascii="Times New Roman" w:eastAsia="Times New Roman" w:hAnsi="Times New Roman" w:cs="Times New Roman"/>
                <w:kern w:val="0"/>
                <w:lang w:eastAsia="hr-HR"/>
              </w:rPr>
              <w:t xml:space="preserve">Mrežom hitne medicine određeno je 25 timova T2 hitne medicine koji trebaju biti uspostavljeni na području Splitsko-dalmatinske županije, što znači da Zavod mora u roku tri godine stručno osposobiti najmanje 25 prvostupnika sestrinstva u djelatnosti hitne medicine.  </w:t>
            </w:r>
          </w:p>
          <w:p w14:paraId="1A663943" w14:textId="3C2C73F1" w:rsidR="00DB6013" w:rsidRPr="00702A1E" w:rsidRDefault="00DB6013"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Prijavom projekta specijalističkog usavršavanja prvostupnika sestrinstva u djelatnosti hitne medicine prihvatljivog za financiranje iz sredstava Centralno financiranje specijalizacija u okviru Nacionalnog plana oporavka i otpornosti za razdoblje 2021.-2026., Zavodu za hitnu medicinu SDŽ biti će omogućeno nužno financiranje </w:t>
            </w:r>
            <w:r w:rsidR="00D65ED3" w:rsidRPr="00702A1E">
              <w:rPr>
                <w:rFonts w:ascii="Times New Roman" w:eastAsia="Times New Roman" w:hAnsi="Times New Roman" w:cs="Times New Roman"/>
                <w:kern w:val="0"/>
                <w:lang w:eastAsia="hr-HR"/>
              </w:rPr>
              <w:t>35</w:t>
            </w:r>
            <w:r w:rsidRPr="00702A1E">
              <w:rPr>
                <w:rFonts w:ascii="Times New Roman" w:eastAsia="Times New Roman" w:hAnsi="Times New Roman" w:cs="Times New Roman"/>
                <w:kern w:val="0"/>
                <w:lang w:eastAsia="hr-HR"/>
              </w:rPr>
              <w:t xml:space="preserve"> specijalizacija prvostupnika sestrinstva  iz djelatnosti hitne medicine. </w:t>
            </w:r>
          </w:p>
          <w:p w14:paraId="5EAF8DF0" w14:textId="77777777" w:rsidR="00DB6013" w:rsidRPr="00702A1E" w:rsidRDefault="00DB6013" w:rsidP="00C97AA2">
            <w:pPr>
              <w:widowControl/>
              <w:suppressAutoHyphens w:val="0"/>
              <w:autoSpaceDN/>
              <w:snapToGrid w:val="0"/>
              <w:spacing w:after="0" w:line="240" w:lineRule="auto"/>
              <w:jc w:val="both"/>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Specijalizacija prvostupnika sestrinstva iz hitne medicine traje 12 mjeseci.</w:t>
            </w:r>
          </w:p>
          <w:p w14:paraId="0FE51EC9" w14:textId="634AB48D" w:rsidR="00DB6013" w:rsidRPr="00702A1E" w:rsidRDefault="00DB6013" w:rsidP="00C97AA2">
            <w:pPr>
              <w:widowControl/>
              <w:suppressAutoHyphens w:val="0"/>
              <w:autoSpaceDN/>
              <w:spacing w:after="0" w:line="240" w:lineRule="auto"/>
              <w:jc w:val="both"/>
              <w:rPr>
                <w:rFonts w:ascii="Times New Roman" w:eastAsia="Times New Roman" w:hAnsi="Times New Roman" w:cs="Times New Roman"/>
                <w:bCs/>
                <w:color w:val="000000"/>
                <w:kern w:val="0"/>
                <w:lang w:eastAsia="hr-HR"/>
              </w:rPr>
            </w:pPr>
            <w:r w:rsidRPr="00702A1E">
              <w:rPr>
                <w:rFonts w:ascii="Times New Roman" w:eastAsia="Times New Roman" w:hAnsi="Times New Roman" w:cs="Times New Roman"/>
                <w:bCs/>
                <w:kern w:val="0"/>
                <w:lang w:eastAsia="hr-HR"/>
              </w:rPr>
              <w:t xml:space="preserve">Ova aktivnost, koja obuhvaća </w:t>
            </w:r>
            <w:r w:rsidR="00D65ED3" w:rsidRPr="00702A1E">
              <w:rPr>
                <w:rFonts w:ascii="Times New Roman" w:eastAsia="Times New Roman" w:hAnsi="Times New Roman" w:cs="Times New Roman"/>
                <w:bCs/>
                <w:kern w:val="0"/>
                <w:lang w:eastAsia="hr-HR"/>
              </w:rPr>
              <w:t>2,8</w:t>
            </w:r>
            <w:r w:rsidRPr="00702A1E">
              <w:rPr>
                <w:rFonts w:ascii="Times New Roman" w:eastAsia="Times New Roman" w:hAnsi="Times New Roman" w:cs="Times New Roman"/>
                <w:bCs/>
                <w:kern w:val="0"/>
                <w:lang w:eastAsia="hr-HR"/>
              </w:rPr>
              <w:t xml:space="preserve"> % ukupnog plana za 202</w:t>
            </w:r>
            <w:r w:rsidR="00D65ED3" w:rsidRPr="00702A1E">
              <w:rPr>
                <w:rFonts w:ascii="Times New Roman" w:eastAsia="Times New Roman" w:hAnsi="Times New Roman" w:cs="Times New Roman"/>
                <w:bCs/>
                <w:kern w:val="0"/>
                <w:lang w:eastAsia="hr-HR"/>
              </w:rPr>
              <w:t>4</w:t>
            </w:r>
            <w:r w:rsidRPr="00702A1E">
              <w:rPr>
                <w:rFonts w:ascii="Times New Roman" w:eastAsia="Times New Roman" w:hAnsi="Times New Roman" w:cs="Times New Roman"/>
                <w:bCs/>
                <w:kern w:val="0"/>
                <w:lang w:eastAsia="hr-HR"/>
              </w:rPr>
              <w:t xml:space="preserve">.g. sastoji se od rashoda za zaposlene i materijalnih rashoda koji se financiraju u cijelosti iz </w:t>
            </w:r>
            <w:r w:rsidRPr="00702A1E">
              <w:rPr>
                <w:rFonts w:ascii="Times New Roman" w:eastAsia="Times New Roman" w:hAnsi="Times New Roman" w:cs="Times New Roman"/>
                <w:kern w:val="0"/>
                <w:lang w:eastAsia="hr-HR"/>
              </w:rPr>
              <w:t>Nacionalnog plana oporavka i otpornosti</w:t>
            </w:r>
            <w:r w:rsidRPr="00702A1E">
              <w:rPr>
                <w:rFonts w:ascii="Times New Roman" w:eastAsia="Times New Roman" w:hAnsi="Times New Roman" w:cs="Times New Roman"/>
                <w:bCs/>
                <w:kern w:val="0"/>
                <w:lang w:eastAsia="hr-HR"/>
              </w:rPr>
              <w:t xml:space="preserve"> (izvor pomoći EU) u iznosu od </w:t>
            </w:r>
            <w:r w:rsidR="00D65ED3" w:rsidRPr="00702A1E">
              <w:rPr>
                <w:rFonts w:ascii="Times New Roman" w:eastAsia="Times New Roman" w:hAnsi="Times New Roman" w:cs="Times New Roman"/>
                <w:bCs/>
                <w:kern w:val="0"/>
                <w:lang w:eastAsia="hr-HR"/>
              </w:rPr>
              <w:t>694</w:t>
            </w:r>
            <w:r w:rsidRPr="00702A1E">
              <w:rPr>
                <w:rFonts w:ascii="Times New Roman" w:eastAsia="Times New Roman" w:hAnsi="Times New Roman" w:cs="Times New Roman"/>
                <w:bCs/>
                <w:kern w:val="0"/>
                <w:lang w:eastAsia="hr-HR"/>
              </w:rPr>
              <w:t>.</w:t>
            </w:r>
            <w:r w:rsidR="00D65ED3" w:rsidRPr="00702A1E">
              <w:rPr>
                <w:rFonts w:ascii="Times New Roman" w:eastAsia="Times New Roman" w:hAnsi="Times New Roman" w:cs="Times New Roman"/>
                <w:bCs/>
                <w:kern w:val="0"/>
                <w:lang w:eastAsia="hr-HR"/>
              </w:rPr>
              <w:t>0</w:t>
            </w:r>
            <w:r w:rsidRPr="00702A1E">
              <w:rPr>
                <w:rFonts w:ascii="Times New Roman" w:eastAsia="Times New Roman" w:hAnsi="Times New Roman" w:cs="Times New Roman"/>
                <w:bCs/>
                <w:kern w:val="0"/>
                <w:lang w:eastAsia="hr-HR"/>
              </w:rPr>
              <w:t>00,00 €.</w:t>
            </w:r>
          </w:p>
        </w:tc>
      </w:tr>
      <w:tr w:rsidR="00DB6013" w:rsidRPr="00702A1E" w14:paraId="59C358A0" w14:textId="77777777" w:rsidTr="003954B9">
        <w:trPr>
          <w:trHeight w:val="257"/>
        </w:trPr>
        <w:tc>
          <w:tcPr>
            <w:tcW w:w="2823" w:type="dxa"/>
            <w:shd w:val="clear" w:color="auto" w:fill="D9D9D9"/>
          </w:tcPr>
          <w:p w14:paraId="597A2B15"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Obrazloženje izračuna financijskih sredstava</w:t>
            </w:r>
          </w:p>
        </w:tc>
        <w:tc>
          <w:tcPr>
            <w:tcW w:w="6465" w:type="dxa"/>
            <w:gridSpan w:val="2"/>
            <w:shd w:val="clear" w:color="auto" w:fill="auto"/>
          </w:tcPr>
          <w:p w14:paraId="7B63D961" w14:textId="68E29B04" w:rsidR="00DB6013" w:rsidRPr="00702A1E" w:rsidRDefault="00D65ED3" w:rsidP="00C97AA2">
            <w:pPr>
              <w:widowControl/>
              <w:suppressAutoHyphens w:val="0"/>
              <w:autoSpaceDN/>
              <w:spacing w:after="0" w:line="240" w:lineRule="auto"/>
              <w:rPr>
                <w:rFonts w:ascii="Times New Roman" w:eastAsia="Times New Roman" w:hAnsi="Times New Roman" w:cs="Times New Roman"/>
                <w:bCs/>
                <w:color w:val="000000"/>
                <w:kern w:val="0"/>
                <w:lang w:eastAsia="hr-HR"/>
              </w:rPr>
            </w:pPr>
            <w:r w:rsidRPr="00702A1E">
              <w:rPr>
                <w:rFonts w:ascii="Times New Roman" w:eastAsia="Times New Roman" w:hAnsi="Times New Roman" w:cs="Times New Roman"/>
                <w:bCs/>
                <w:color w:val="000000"/>
                <w:kern w:val="0"/>
                <w:lang w:eastAsia="hr-HR"/>
              </w:rPr>
              <w:t>U 2024.g. p</w:t>
            </w:r>
            <w:r w:rsidR="00DB6013" w:rsidRPr="00702A1E">
              <w:rPr>
                <w:rFonts w:ascii="Times New Roman" w:eastAsia="Times New Roman" w:hAnsi="Times New Roman" w:cs="Times New Roman"/>
                <w:bCs/>
                <w:color w:val="000000"/>
                <w:kern w:val="0"/>
                <w:lang w:eastAsia="hr-HR"/>
              </w:rPr>
              <w:t xml:space="preserve">rihodima od pomoći iz Nacionalnog plana oporavka i otpornosti  financirati će se rashodi za plaće </w:t>
            </w:r>
            <w:r w:rsidR="00637E67" w:rsidRPr="00702A1E">
              <w:rPr>
                <w:rFonts w:ascii="Times New Roman" w:eastAsia="Times New Roman" w:hAnsi="Times New Roman" w:cs="Times New Roman"/>
                <w:bCs/>
                <w:color w:val="000000"/>
                <w:kern w:val="0"/>
                <w:lang w:eastAsia="hr-HR"/>
              </w:rPr>
              <w:t>25</w:t>
            </w:r>
            <w:r w:rsidR="00DB6013" w:rsidRPr="00702A1E">
              <w:rPr>
                <w:rFonts w:ascii="Times New Roman" w:eastAsia="Times New Roman" w:hAnsi="Times New Roman" w:cs="Times New Roman"/>
                <w:bCs/>
                <w:color w:val="000000"/>
                <w:kern w:val="0"/>
                <w:lang w:eastAsia="hr-HR"/>
              </w:rPr>
              <w:t xml:space="preserve"> prvostupnika sestrinstva u iznosu od </w:t>
            </w:r>
            <w:r w:rsidR="00394622" w:rsidRPr="00702A1E">
              <w:rPr>
                <w:rFonts w:ascii="Times New Roman" w:eastAsia="Times New Roman" w:hAnsi="Times New Roman" w:cs="Times New Roman"/>
                <w:bCs/>
                <w:color w:val="000000"/>
                <w:kern w:val="0"/>
                <w:lang w:eastAsia="hr-HR"/>
              </w:rPr>
              <w:t>576.000</w:t>
            </w:r>
            <w:r w:rsidR="00DB6013" w:rsidRPr="00702A1E">
              <w:rPr>
                <w:rFonts w:ascii="Times New Roman" w:eastAsia="Times New Roman" w:hAnsi="Times New Roman" w:cs="Times New Roman"/>
                <w:bCs/>
                <w:color w:val="000000"/>
                <w:kern w:val="0"/>
                <w:lang w:eastAsia="hr-HR"/>
              </w:rPr>
              <w:t xml:space="preserve">,00 € što čini </w:t>
            </w:r>
            <w:r w:rsidR="00394622" w:rsidRPr="00702A1E">
              <w:rPr>
                <w:rFonts w:ascii="Times New Roman" w:eastAsia="Times New Roman" w:hAnsi="Times New Roman" w:cs="Times New Roman"/>
                <w:bCs/>
                <w:color w:val="000000"/>
                <w:kern w:val="0"/>
                <w:lang w:eastAsia="hr-HR"/>
              </w:rPr>
              <w:t>2,3</w:t>
            </w:r>
            <w:r w:rsidR="00DB6013" w:rsidRPr="00702A1E">
              <w:rPr>
                <w:rFonts w:ascii="Times New Roman" w:eastAsia="Times New Roman" w:hAnsi="Times New Roman" w:cs="Times New Roman"/>
                <w:bCs/>
                <w:color w:val="000000"/>
                <w:kern w:val="0"/>
                <w:lang w:eastAsia="hr-HR"/>
              </w:rPr>
              <w:t xml:space="preserve"> % ukupnih rashoda te drugi materijalni rashodi u iznosu od </w:t>
            </w:r>
            <w:r w:rsidR="00394622" w:rsidRPr="00702A1E">
              <w:rPr>
                <w:rFonts w:ascii="Times New Roman" w:eastAsia="Times New Roman" w:hAnsi="Times New Roman" w:cs="Times New Roman"/>
                <w:bCs/>
                <w:color w:val="000000"/>
                <w:kern w:val="0"/>
                <w:lang w:eastAsia="hr-HR"/>
              </w:rPr>
              <w:t>118.000</w:t>
            </w:r>
            <w:r w:rsidR="00DB6013" w:rsidRPr="00702A1E">
              <w:rPr>
                <w:rFonts w:ascii="Times New Roman" w:eastAsia="Times New Roman" w:hAnsi="Times New Roman" w:cs="Times New Roman"/>
                <w:bCs/>
                <w:color w:val="000000"/>
                <w:kern w:val="0"/>
                <w:lang w:eastAsia="hr-HR"/>
              </w:rPr>
              <w:t>,00 € što čini 0,</w:t>
            </w:r>
            <w:r w:rsidR="00394622" w:rsidRPr="00702A1E">
              <w:rPr>
                <w:rFonts w:ascii="Times New Roman" w:eastAsia="Times New Roman" w:hAnsi="Times New Roman" w:cs="Times New Roman"/>
                <w:bCs/>
                <w:color w:val="000000"/>
                <w:kern w:val="0"/>
                <w:lang w:eastAsia="hr-HR"/>
              </w:rPr>
              <w:t xml:space="preserve">5 </w:t>
            </w:r>
            <w:r w:rsidR="00DB6013" w:rsidRPr="00702A1E">
              <w:rPr>
                <w:rFonts w:ascii="Times New Roman" w:eastAsia="Times New Roman" w:hAnsi="Times New Roman" w:cs="Times New Roman"/>
                <w:bCs/>
                <w:color w:val="000000"/>
                <w:kern w:val="0"/>
                <w:lang w:eastAsia="hr-HR"/>
              </w:rPr>
              <w:t>% ukupnih rashoda.</w:t>
            </w:r>
          </w:p>
          <w:p w14:paraId="10954E6C" w14:textId="7B7AC481" w:rsidR="00394622" w:rsidRPr="00702A1E" w:rsidRDefault="00637E67" w:rsidP="00C97AA2">
            <w:pPr>
              <w:widowControl/>
              <w:suppressAutoHyphens w:val="0"/>
              <w:autoSpaceDN/>
              <w:spacing w:after="0" w:line="240" w:lineRule="auto"/>
              <w:rPr>
                <w:rFonts w:ascii="Times New Roman" w:hAnsi="Times New Roman" w:cs="Times New Roman"/>
                <w:iCs/>
              </w:rPr>
            </w:pPr>
            <w:r w:rsidRPr="00702A1E">
              <w:rPr>
                <w:rFonts w:ascii="Times New Roman" w:eastAsia="Times New Roman" w:hAnsi="Times New Roman" w:cs="Times New Roman"/>
                <w:bCs/>
                <w:color w:val="000000"/>
                <w:kern w:val="0"/>
                <w:lang w:eastAsia="hr-HR"/>
              </w:rPr>
              <w:t xml:space="preserve">U 2025.g. prihodima od pomoći iz Nacionalnog plana oporavka i otpornosti  financirati će se rashodi za plaće 22 prvostupnika sestrinstva u iznosu od 295.000,00 € </w:t>
            </w:r>
            <w:r w:rsidRPr="00702A1E">
              <w:rPr>
                <w:rFonts w:ascii="Times New Roman" w:eastAsia="Times New Roman" w:hAnsi="Times New Roman" w:cs="Times New Roman"/>
                <w:bCs/>
                <w:kern w:val="0"/>
                <w:lang w:eastAsia="ar-SA"/>
              </w:rPr>
              <w:t xml:space="preserve">(manji su za 48,8 </w:t>
            </w:r>
            <w:r w:rsidRPr="00702A1E">
              <w:rPr>
                <w:rFonts w:ascii="Times New Roman" w:hAnsi="Times New Roman" w:cs="Times New Roman"/>
                <w:iCs/>
              </w:rPr>
              <w:t xml:space="preserve">% u odnosu na 2024.g.) </w:t>
            </w:r>
            <w:r w:rsidRPr="00702A1E">
              <w:rPr>
                <w:rFonts w:ascii="Times New Roman" w:eastAsia="Times New Roman" w:hAnsi="Times New Roman" w:cs="Times New Roman"/>
                <w:bCs/>
                <w:color w:val="000000"/>
                <w:kern w:val="0"/>
                <w:lang w:eastAsia="hr-HR"/>
              </w:rPr>
              <w:t xml:space="preserve">te drugi materijalni rashodi u iznosu od 60.000,00 € </w:t>
            </w:r>
            <w:r w:rsidRPr="00702A1E">
              <w:rPr>
                <w:rFonts w:ascii="Times New Roman" w:eastAsia="Times New Roman" w:hAnsi="Times New Roman" w:cs="Times New Roman"/>
                <w:bCs/>
                <w:kern w:val="0"/>
                <w:lang w:eastAsia="ar-SA"/>
              </w:rPr>
              <w:t>(manji su za 49,</w:t>
            </w:r>
            <w:r w:rsidR="00CE40A2" w:rsidRPr="00702A1E">
              <w:rPr>
                <w:rFonts w:ascii="Times New Roman" w:eastAsia="Times New Roman" w:hAnsi="Times New Roman" w:cs="Times New Roman"/>
                <w:bCs/>
                <w:kern w:val="0"/>
                <w:lang w:eastAsia="ar-SA"/>
              </w:rPr>
              <w:t>2</w:t>
            </w:r>
            <w:r w:rsidRPr="00702A1E">
              <w:rPr>
                <w:rFonts w:ascii="Times New Roman" w:hAnsi="Times New Roman" w:cs="Times New Roman"/>
                <w:iCs/>
              </w:rPr>
              <w:t xml:space="preserve"> % u odnosu na 2024.g.). Do kraja 2025.g. okončat će se sva specijalistička usavršavanja </w:t>
            </w:r>
            <w:r w:rsidRPr="00702A1E">
              <w:rPr>
                <w:rFonts w:ascii="Times New Roman" w:eastAsia="Times New Roman" w:hAnsi="Times New Roman" w:cs="Times New Roman"/>
                <w:kern w:val="0"/>
                <w:lang w:eastAsia="hr-HR"/>
              </w:rPr>
              <w:t>prvostupnika sestrinstva u djelatnosti hitne medicine.</w:t>
            </w:r>
          </w:p>
          <w:p w14:paraId="3ED3ADE7" w14:textId="362F4920" w:rsidR="00394622" w:rsidRPr="00702A1E" w:rsidRDefault="00394622" w:rsidP="00C97AA2">
            <w:pPr>
              <w:widowControl/>
              <w:suppressAutoHyphens w:val="0"/>
              <w:autoSpaceDN/>
              <w:spacing w:after="0" w:line="240" w:lineRule="auto"/>
              <w:rPr>
                <w:rFonts w:ascii="Times New Roman" w:eastAsia="Times New Roman" w:hAnsi="Times New Roman" w:cs="Times New Roman"/>
                <w:bCs/>
                <w:color w:val="000000"/>
                <w:kern w:val="0"/>
                <w:lang w:eastAsia="hr-HR"/>
              </w:rPr>
            </w:pPr>
          </w:p>
        </w:tc>
      </w:tr>
      <w:tr w:rsidR="00DB6013" w:rsidRPr="00702A1E" w14:paraId="12E8AA9C" w14:textId="77777777" w:rsidTr="003954B9">
        <w:trPr>
          <w:trHeight w:val="257"/>
        </w:trPr>
        <w:tc>
          <w:tcPr>
            <w:tcW w:w="0" w:type="auto"/>
            <w:gridSpan w:val="3"/>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681"/>
              <w:gridCol w:w="1710"/>
              <w:gridCol w:w="1481"/>
              <w:gridCol w:w="1701"/>
              <w:gridCol w:w="1363"/>
            </w:tblGrid>
            <w:tr w:rsidR="00820E7E" w:rsidRPr="00702A1E" w14:paraId="394F983F" w14:textId="77777777" w:rsidTr="00FB1800">
              <w:trPr>
                <w:trHeight w:val="219"/>
              </w:trPr>
              <w:tc>
                <w:tcPr>
                  <w:tcW w:w="0" w:type="auto"/>
                  <w:shd w:val="clear" w:color="auto" w:fill="F2F2F2"/>
                </w:tcPr>
                <w:p w14:paraId="362BC692"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Izvršeno 2022.</w:t>
                  </w:r>
                </w:p>
              </w:tc>
              <w:tc>
                <w:tcPr>
                  <w:tcW w:w="0" w:type="auto"/>
                  <w:shd w:val="clear" w:color="auto" w:fill="F2F2F2"/>
                </w:tcPr>
                <w:p w14:paraId="486D9DB7" w14:textId="6C2C6A3E"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820E7E">
                    <w:rPr>
                      <w:rFonts w:ascii="Times New Roman" w:hAnsi="Times New Roman" w:cs="Times New Roman"/>
                      <w:b/>
                      <w:bCs/>
                      <w:color w:val="000000"/>
                    </w:rPr>
                    <w:t>Financijski plan 2023.</w:t>
                  </w:r>
                </w:p>
              </w:tc>
              <w:tc>
                <w:tcPr>
                  <w:tcW w:w="0" w:type="auto"/>
                  <w:shd w:val="clear" w:color="auto" w:fill="F2F2F2"/>
                </w:tcPr>
                <w:p w14:paraId="304844AE" w14:textId="0C11DEC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820E7E">
                    <w:rPr>
                      <w:rFonts w:ascii="Times New Roman" w:hAnsi="Times New Roman" w:cs="Times New Roman"/>
                      <w:b/>
                      <w:bCs/>
                      <w:color w:val="000000"/>
                    </w:rPr>
                    <w:t>II. Rebalans 2023.€</w:t>
                  </w:r>
                </w:p>
              </w:tc>
              <w:tc>
                <w:tcPr>
                  <w:tcW w:w="1481" w:type="dxa"/>
                  <w:shd w:val="clear" w:color="auto" w:fill="F2F2F2"/>
                </w:tcPr>
                <w:p w14:paraId="5F7FA0D3"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Plan 2024.</w:t>
                  </w:r>
                </w:p>
              </w:tc>
              <w:tc>
                <w:tcPr>
                  <w:tcW w:w="1701" w:type="dxa"/>
                  <w:shd w:val="clear" w:color="auto" w:fill="F2F2F2"/>
                </w:tcPr>
                <w:p w14:paraId="3E49A1C8"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Projekcija 2025.</w:t>
                  </w:r>
                </w:p>
              </w:tc>
              <w:tc>
                <w:tcPr>
                  <w:tcW w:w="1363" w:type="dxa"/>
                  <w:shd w:val="clear" w:color="auto" w:fill="F2F2F2"/>
                </w:tcPr>
                <w:p w14:paraId="29D05B69" w14:textId="77777777" w:rsidR="00820E7E" w:rsidRPr="00702A1E" w:rsidRDefault="00820E7E" w:rsidP="00820E7E">
                  <w:pPr>
                    <w:widowControl/>
                    <w:suppressAutoHyphens w:val="0"/>
                    <w:autoSpaceDN/>
                    <w:spacing w:after="0" w:line="240" w:lineRule="auto"/>
                    <w:jc w:val="center"/>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Projekcija 2026.</w:t>
                  </w:r>
                </w:p>
              </w:tc>
            </w:tr>
            <w:tr w:rsidR="00820E7E" w:rsidRPr="00702A1E" w14:paraId="299245A2" w14:textId="77777777" w:rsidTr="00FB1800">
              <w:trPr>
                <w:trHeight w:val="2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907F34" w14:textId="77777777"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CD151" w14:textId="77777777"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0,00€</w:t>
                  </w:r>
                </w:p>
              </w:tc>
              <w:tc>
                <w:tcPr>
                  <w:tcW w:w="0" w:type="auto"/>
                  <w:tcBorders>
                    <w:top w:val="single" w:sz="4" w:space="0" w:color="auto"/>
                    <w:left w:val="single" w:sz="4" w:space="0" w:color="auto"/>
                    <w:bottom w:val="single" w:sz="4" w:space="0" w:color="auto"/>
                    <w:right w:val="single" w:sz="4" w:space="0" w:color="auto"/>
                  </w:tcBorders>
                </w:tcPr>
                <w:p w14:paraId="48A7120D" w14:textId="16293ED8"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301.600,00 €</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4C6C5FDA" w14:textId="3457B8E0"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694.000,00</w:t>
                  </w:r>
                  <w:r>
                    <w:rPr>
                      <w:rFonts w:ascii="Times New Roman" w:eastAsia="Times New Roman" w:hAnsi="Times New Roman" w:cs="Times New Roman"/>
                      <w:b/>
                      <w:bCs/>
                      <w:color w:val="000000"/>
                      <w:kern w:val="0"/>
                      <w:lang w:eastAsia="hr-HR"/>
                    </w:rPr>
                    <w:t xml:space="preserve"> </w:t>
                  </w:r>
                  <w:r w:rsidRPr="00702A1E">
                    <w:rPr>
                      <w:rFonts w:ascii="Times New Roman" w:eastAsia="Times New Roman" w:hAnsi="Times New Roman" w:cs="Times New Roman"/>
                      <w:b/>
                      <w:bCs/>
                      <w:color w:val="000000"/>
                      <w:kern w:val="0"/>
                      <w:lang w:eastAsia="hr-H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A613F2" w14:textId="245C3EDF"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bCs/>
                      <w:color w:val="000000"/>
                      <w:kern w:val="0"/>
                      <w:lang w:eastAsia="hr-HR"/>
                    </w:rPr>
                    <w:t>355.000,00</w:t>
                  </w:r>
                  <w:r>
                    <w:rPr>
                      <w:rFonts w:ascii="Times New Roman" w:eastAsia="Times New Roman" w:hAnsi="Times New Roman" w:cs="Times New Roman"/>
                      <w:b/>
                      <w:bCs/>
                      <w:color w:val="000000"/>
                      <w:kern w:val="0"/>
                      <w:lang w:eastAsia="hr-HR"/>
                    </w:rPr>
                    <w:t xml:space="preserve"> </w:t>
                  </w:r>
                  <w:r w:rsidRPr="00702A1E">
                    <w:rPr>
                      <w:rFonts w:ascii="Times New Roman" w:eastAsia="Times New Roman" w:hAnsi="Times New Roman" w:cs="Times New Roman"/>
                      <w:b/>
                      <w:bCs/>
                      <w:color w:val="000000"/>
                      <w:kern w:val="0"/>
                      <w:lang w:eastAsia="hr-HR"/>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2581E61" w14:textId="01E4AE28" w:rsidR="00820E7E" w:rsidRPr="00702A1E" w:rsidRDefault="00820E7E" w:rsidP="00820E7E">
                  <w:pPr>
                    <w:widowControl/>
                    <w:suppressAutoHyphens w:val="0"/>
                    <w:autoSpaceDN/>
                    <w:spacing w:after="0" w:line="240" w:lineRule="auto"/>
                    <w:jc w:val="right"/>
                    <w:rPr>
                      <w:rFonts w:ascii="Times New Roman" w:eastAsia="Times New Roman" w:hAnsi="Times New Roman" w:cs="Times New Roman"/>
                      <w:b/>
                      <w:bCs/>
                      <w:kern w:val="0"/>
                      <w:lang w:eastAsia="hr-HR"/>
                    </w:rPr>
                  </w:pPr>
                  <w:r w:rsidRPr="00702A1E">
                    <w:rPr>
                      <w:rFonts w:ascii="Times New Roman" w:eastAsia="Times New Roman" w:hAnsi="Times New Roman" w:cs="Times New Roman"/>
                      <w:b/>
                      <w:bCs/>
                      <w:color w:val="000000"/>
                      <w:kern w:val="0"/>
                      <w:lang w:eastAsia="hr-HR"/>
                    </w:rPr>
                    <w:t>0,00</w:t>
                  </w:r>
                  <w:r>
                    <w:rPr>
                      <w:rFonts w:ascii="Times New Roman" w:eastAsia="Times New Roman" w:hAnsi="Times New Roman" w:cs="Times New Roman"/>
                      <w:b/>
                      <w:bCs/>
                      <w:color w:val="000000"/>
                      <w:kern w:val="0"/>
                      <w:lang w:eastAsia="hr-HR"/>
                    </w:rPr>
                    <w:t xml:space="preserve"> </w:t>
                  </w:r>
                  <w:r w:rsidRPr="00702A1E">
                    <w:rPr>
                      <w:rFonts w:ascii="Times New Roman" w:eastAsia="Times New Roman" w:hAnsi="Times New Roman" w:cs="Times New Roman"/>
                      <w:b/>
                      <w:bCs/>
                      <w:color w:val="000000"/>
                      <w:kern w:val="0"/>
                      <w:lang w:eastAsia="hr-HR"/>
                    </w:rPr>
                    <w:t>€</w:t>
                  </w:r>
                </w:p>
              </w:tc>
            </w:tr>
          </w:tbl>
          <w:p w14:paraId="6B861BE2"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Cs/>
                <w:color w:val="000000"/>
                <w:kern w:val="0"/>
                <w:lang w:eastAsia="hr-HR"/>
              </w:rPr>
            </w:pPr>
          </w:p>
        </w:tc>
      </w:tr>
      <w:tr w:rsidR="00DB6013" w:rsidRPr="00702A1E" w14:paraId="72F2B0B7" w14:textId="77777777" w:rsidTr="003954B9">
        <w:trPr>
          <w:trHeight w:val="257"/>
        </w:trPr>
        <w:tc>
          <w:tcPr>
            <w:tcW w:w="2823" w:type="dxa"/>
            <w:shd w:val="clear" w:color="auto" w:fill="D9D9D9"/>
          </w:tcPr>
          <w:p w14:paraId="02E5DFBE" w14:textId="77777777" w:rsidR="00DB6013" w:rsidRPr="00702A1E" w:rsidRDefault="00DB6013" w:rsidP="00DB6013">
            <w:pPr>
              <w:widowControl/>
              <w:suppressAutoHyphens w:val="0"/>
              <w:autoSpaceDN/>
              <w:spacing w:after="0" w:line="240" w:lineRule="auto"/>
              <w:rPr>
                <w:rFonts w:ascii="Times New Roman" w:eastAsia="Times New Roman" w:hAnsi="Times New Roman" w:cs="Times New Roman"/>
                <w:b/>
                <w:bCs/>
                <w:color w:val="000000"/>
                <w:kern w:val="0"/>
                <w:lang w:eastAsia="hr-HR"/>
              </w:rPr>
            </w:pPr>
            <w:r w:rsidRPr="00702A1E">
              <w:rPr>
                <w:rFonts w:ascii="Times New Roman" w:eastAsia="Times New Roman" w:hAnsi="Times New Roman" w:cs="Times New Roman"/>
                <w:b/>
                <w:color w:val="000000"/>
                <w:kern w:val="0"/>
                <w:lang w:eastAsia="hr-HR"/>
              </w:rPr>
              <w:t>Obrazloženja odstupanja od projekcija za 2024. i 2025. usvojenih u prošlogodišnjem Proračunu</w:t>
            </w:r>
          </w:p>
        </w:tc>
        <w:tc>
          <w:tcPr>
            <w:tcW w:w="6465" w:type="dxa"/>
            <w:gridSpan w:val="2"/>
            <w:shd w:val="clear" w:color="auto" w:fill="auto"/>
          </w:tcPr>
          <w:p w14:paraId="47C530EC" w14:textId="32721B9B" w:rsidR="00DB6013" w:rsidRPr="00702A1E" w:rsidRDefault="00DB6013" w:rsidP="00DB6013">
            <w:pPr>
              <w:widowControl/>
              <w:suppressAutoHyphens w:val="0"/>
              <w:autoSpaceDN/>
              <w:spacing w:after="0" w:line="240" w:lineRule="auto"/>
              <w:rPr>
                <w:rFonts w:ascii="Times New Roman" w:eastAsia="Times New Roman" w:hAnsi="Times New Roman" w:cs="Times New Roman"/>
                <w:bCs/>
                <w:color w:val="000000"/>
                <w:kern w:val="0"/>
                <w:lang w:eastAsia="hr-HR"/>
              </w:rPr>
            </w:pPr>
            <w:r w:rsidRPr="00702A1E">
              <w:rPr>
                <w:rFonts w:ascii="Times New Roman" w:eastAsia="Times New Roman" w:hAnsi="Times New Roman" w:cs="Times New Roman"/>
                <w:bCs/>
                <w:color w:val="000000"/>
                <w:kern w:val="0"/>
                <w:lang w:eastAsia="hr-HR"/>
              </w:rPr>
              <w:t>Nije primjenjivo jer navedena aktivnost nije bila planirana za 2024. i 2025. g. u prošlogodišnjem Proračunu.</w:t>
            </w:r>
          </w:p>
        </w:tc>
      </w:tr>
    </w:tbl>
    <w:p w14:paraId="170C7825" w14:textId="77777777" w:rsidR="008F06F1" w:rsidRPr="00702A1E" w:rsidRDefault="008F06F1">
      <w:pPr>
        <w:pStyle w:val="Standard"/>
        <w:rPr>
          <w:sz w:val="22"/>
          <w:szCs w:val="22"/>
        </w:rPr>
      </w:pPr>
    </w:p>
    <w:p w14:paraId="7AC8AE27" w14:textId="77777777" w:rsidR="008F06F1" w:rsidRPr="00702A1E" w:rsidRDefault="008F06F1">
      <w:pPr>
        <w:pStyle w:val="Standard"/>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86"/>
        <w:gridCol w:w="1104"/>
        <w:gridCol w:w="903"/>
        <w:gridCol w:w="828"/>
        <w:gridCol w:w="809"/>
        <w:gridCol w:w="897"/>
        <w:gridCol w:w="897"/>
      </w:tblGrid>
      <w:tr w:rsidR="00BF004A" w:rsidRPr="00702A1E" w14:paraId="11675950" w14:textId="77777777" w:rsidTr="00572DD5">
        <w:trPr>
          <w:trHeight w:val="651"/>
        </w:trPr>
        <w:tc>
          <w:tcPr>
            <w:tcW w:w="0" w:type="auto"/>
            <w:shd w:val="clear" w:color="auto" w:fill="D9D9D9"/>
          </w:tcPr>
          <w:p w14:paraId="67B577F9" w14:textId="77777777" w:rsidR="00BF004A" w:rsidRPr="00702A1E" w:rsidRDefault="00BF004A" w:rsidP="00BF004A">
            <w:pPr>
              <w:widowControl/>
              <w:suppressAutoHyphens w:val="0"/>
              <w:autoSpaceDN/>
              <w:spacing w:after="0" w:line="240" w:lineRule="auto"/>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Pokazatelj rezultata</w:t>
            </w:r>
          </w:p>
        </w:tc>
        <w:tc>
          <w:tcPr>
            <w:tcW w:w="0" w:type="auto"/>
            <w:shd w:val="clear" w:color="auto" w:fill="D9D9D9"/>
          </w:tcPr>
          <w:p w14:paraId="37C87BED" w14:textId="77777777" w:rsidR="00BF004A" w:rsidRPr="00702A1E" w:rsidRDefault="00BF004A" w:rsidP="00BF004A">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Definicija</w:t>
            </w:r>
          </w:p>
        </w:tc>
        <w:tc>
          <w:tcPr>
            <w:tcW w:w="0" w:type="auto"/>
            <w:shd w:val="clear" w:color="auto" w:fill="D9D9D9"/>
          </w:tcPr>
          <w:p w14:paraId="2146FF3A" w14:textId="77777777" w:rsidR="00BF004A" w:rsidRPr="00702A1E" w:rsidRDefault="00BF004A" w:rsidP="00BF004A">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Jedinica</w:t>
            </w:r>
          </w:p>
        </w:tc>
        <w:tc>
          <w:tcPr>
            <w:tcW w:w="0" w:type="auto"/>
            <w:shd w:val="clear" w:color="auto" w:fill="D9D9D9"/>
          </w:tcPr>
          <w:p w14:paraId="3BBA1C87" w14:textId="77777777" w:rsidR="00BF004A" w:rsidRPr="00702A1E" w:rsidRDefault="00BF004A" w:rsidP="00BF004A">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Polazna vrijednost 2023.</w:t>
            </w:r>
          </w:p>
        </w:tc>
        <w:tc>
          <w:tcPr>
            <w:tcW w:w="828" w:type="dxa"/>
            <w:shd w:val="clear" w:color="auto" w:fill="D9D9D9"/>
          </w:tcPr>
          <w:p w14:paraId="6DE53351" w14:textId="77777777" w:rsidR="00BF004A" w:rsidRPr="00702A1E" w:rsidRDefault="00BF004A" w:rsidP="00BF004A">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Izvor podataka</w:t>
            </w:r>
          </w:p>
        </w:tc>
        <w:tc>
          <w:tcPr>
            <w:tcW w:w="809" w:type="dxa"/>
            <w:shd w:val="clear" w:color="auto" w:fill="D9D9D9"/>
          </w:tcPr>
          <w:p w14:paraId="0CEEA72F" w14:textId="77777777" w:rsidR="00BF004A" w:rsidRPr="00702A1E" w:rsidRDefault="00BF004A" w:rsidP="00BF004A">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2024.</w:t>
            </w:r>
          </w:p>
        </w:tc>
        <w:tc>
          <w:tcPr>
            <w:tcW w:w="0" w:type="auto"/>
            <w:shd w:val="clear" w:color="auto" w:fill="D9D9D9"/>
          </w:tcPr>
          <w:p w14:paraId="3A907A2F" w14:textId="77777777" w:rsidR="00BF004A" w:rsidRPr="00702A1E" w:rsidRDefault="00BF004A" w:rsidP="00BF004A">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2025.</w:t>
            </w:r>
          </w:p>
        </w:tc>
        <w:tc>
          <w:tcPr>
            <w:tcW w:w="0" w:type="auto"/>
            <w:shd w:val="clear" w:color="auto" w:fill="D9D9D9"/>
          </w:tcPr>
          <w:p w14:paraId="53AC3B2F" w14:textId="77777777" w:rsidR="00BF004A" w:rsidRPr="00702A1E" w:rsidRDefault="00BF004A" w:rsidP="00BF004A">
            <w:pPr>
              <w:widowControl/>
              <w:suppressAutoHyphens w:val="0"/>
              <w:autoSpaceDN/>
              <w:spacing w:after="0" w:line="240" w:lineRule="auto"/>
              <w:jc w:val="center"/>
              <w:rPr>
                <w:rFonts w:ascii="Times New Roman" w:eastAsia="Times New Roman" w:hAnsi="Times New Roman" w:cs="Times New Roman"/>
                <w:b/>
                <w:kern w:val="0"/>
                <w:lang w:eastAsia="hr-HR"/>
              </w:rPr>
            </w:pPr>
            <w:r w:rsidRPr="00702A1E">
              <w:rPr>
                <w:rFonts w:ascii="Times New Roman" w:eastAsia="Times New Roman" w:hAnsi="Times New Roman" w:cs="Times New Roman"/>
                <w:b/>
                <w:kern w:val="0"/>
                <w:lang w:eastAsia="hr-HR"/>
              </w:rPr>
              <w:t>Ciljana vrijednost 2026.</w:t>
            </w:r>
          </w:p>
        </w:tc>
      </w:tr>
      <w:tr w:rsidR="00BF004A" w:rsidRPr="00702A1E" w14:paraId="4865A309" w14:textId="77777777" w:rsidTr="00572DD5">
        <w:trPr>
          <w:trHeight w:val="219"/>
        </w:trPr>
        <w:tc>
          <w:tcPr>
            <w:tcW w:w="0" w:type="auto"/>
            <w:shd w:val="clear" w:color="auto" w:fill="auto"/>
          </w:tcPr>
          <w:p w14:paraId="44DA005E" w14:textId="77777777" w:rsidR="00BF004A" w:rsidRPr="00702A1E" w:rsidRDefault="00BF004A" w:rsidP="00BF004A">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Povećanje broja prvostupnika sestrinstva specijalista hitne medicine </w:t>
            </w:r>
          </w:p>
        </w:tc>
        <w:tc>
          <w:tcPr>
            <w:tcW w:w="0" w:type="auto"/>
            <w:shd w:val="clear" w:color="auto" w:fill="auto"/>
          </w:tcPr>
          <w:p w14:paraId="7A4CF9BA" w14:textId="77777777" w:rsidR="00BF004A" w:rsidRPr="00702A1E" w:rsidRDefault="00BF004A" w:rsidP="00BF004A">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Specijalizacijom prvostupnika sestrinstva u djelatnosti hitne medicine izravno se doprinosi većem broju medicinskih stručnjaka i boljoj pokrivenosti zdravstvenim uslugama te kvalitetnijoj usluzi hitne medicine</w:t>
            </w:r>
          </w:p>
        </w:tc>
        <w:tc>
          <w:tcPr>
            <w:tcW w:w="0" w:type="auto"/>
          </w:tcPr>
          <w:p w14:paraId="76153DC4" w14:textId="77777777" w:rsidR="00BF004A" w:rsidRPr="00702A1E" w:rsidRDefault="00BF004A" w:rsidP="00BF004A">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Broj prvostupnika sestrinstva  specijalista  hitne medicine</w:t>
            </w:r>
          </w:p>
        </w:tc>
        <w:tc>
          <w:tcPr>
            <w:tcW w:w="0" w:type="auto"/>
            <w:shd w:val="clear" w:color="auto" w:fill="auto"/>
          </w:tcPr>
          <w:p w14:paraId="27EF894E" w14:textId="77777777" w:rsidR="00BF004A" w:rsidRPr="00702A1E" w:rsidRDefault="00BF004A" w:rsidP="00BF004A">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0</w:t>
            </w:r>
          </w:p>
        </w:tc>
        <w:tc>
          <w:tcPr>
            <w:tcW w:w="828" w:type="dxa"/>
          </w:tcPr>
          <w:p w14:paraId="2B734DFA" w14:textId="28B5E6F5" w:rsidR="00BF004A" w:rsidRPr="00572DD5" w:rsidRDefault="00572DD5" w:rsidP="00BF004A">
            <w:pPr>
              <w:widowControl/>
              <w:suppressAutoHyphens w:val="0"/>
              <w:autoSpaceDN/>
              <w:spacing w:after="0" w:line="240" w:lineRule="auto"/>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Zavod</w:t>
            </w:r>
          </w:p>
        </w:tc>
        <w:tc>
          <w:tcPr>
            <w:tcW w:w="809" w:type="dxa"/>
            <w:shd w:val="clear" w:color="auto" w:fill="auto"/>
          </w:tcPr>
          <w:p w14:paraId="01834518" w14:textId="77777777" w:rsidR="00BF004A" w:rsidRPr="00702A1E" w:rsidRDefault="00BF004A" w:rsidP="00BF004A">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13</w:t>
            </w:r>
          </w:p>
        </w:tc>
        <w:tc>
          <w:tcPr>
            <w:tcW w:w="0" w:type="auto"/>
            <w:shd w:val="clear" w:color="auto" w:fill="auto"/>
          </w:tcPr>
          <w:p w14:paraId="23FE51F5" w14:textId="0B7DD773" w:rsidR="00BF004A" w:rsidRPr="00702A1E" w:rsidRDefault="00BF004A" w:rsidP="00BF004A">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w:t>
            </w:r>
            <w:r w:rsidR="00E76181" w:rsidRPr="00702A1E">
              <w:rPr>
                <w:rFonts w:ascii="Times New Roman" w:eastAsia="Times New Roman" w:hAnsi="Times New Roman" w:cs="Times New Roman"/>
                <w:kern w:val="0"/>
                <w:lang w:eastAsia="hr-HR"/>
              </w:rPr>
              <w:t>35</w:t>
            </w:r>
          </w:p>
        </w:tc>
        <w:tc>
          <w:tcPr>
            <w:tcW w:w="0" w:type="auto"/>
            <w:shd w:val="clear" w:color="auto" w:fill="auto"/>
          </w:tcPr>
          <w:p w14:paraId="6E9AEC3C" w14:textId="77777777" w:rsidR="00BF004A" w:rsidRPr="00702A1E" w:rsidRDefault="00BF004A" w:rsidP="00BF004A">
            <w:pPr>
              <w:widowControl/>
              <w:suppressAutoHyphens w:val="0"/>
              <w:autoSpaceDN/>
              <w:spacing w:after="0" w:line="240" w:lineRule="auto"/>
              <w:rPr>
                <w:rFonts w:ascii="Times New Roman" w:eastAsia="Times New Roman" w:hAnsi="Times New Roman" w:cs="Times New Roman"/>
                <w:kern w:val="0"/>
                <w:lang w:eastAsia="hr-HR"/>
              </w:rPr>
            </w:pPr>
            <w:r w:rsidRPr="00702A1E">
              <w:rPr>
                <w:rFonts w:ascii="Times New Roman" w:eastAsia="Times New Roman" w:hAnsi="Times New Roman" w:cs="Times New Roman"/>
                <w:kern w:val="0"/>
                <w:lang w:eastAsia="hr-HR"/>
              </w:rPr>
              <w:t xml:space="preserve">     35</w:t>
            </w:r>
          </w:p>
        </w:tc>
      </w:tr>
    </w:tbl>
    <w:p w14:paraId="1E71CB31" w14:textId="77777777" w:rsidR="008F06F1" w:rsidRPr="00702A1E" w:rsidRDefault="008F06F1">
      <w:pPr>
        <w:pStyle w:val="Standard"/>
        <w:rPr>
          <w:sz w:val="22"/>
          <w:szCs w:val="22"/>
        </w:rPr>
      </w:pPr>
    </w:p>
    <w:p w14:paraId="4A7DD45C" w14:textId="77777777" w:rsidR="008F06F1" w:rsidRDefault="008F06F1">
      <w:pPr>
        <w:pStyle w:val="Standard"/>
        <w:rPr>
          <w:sz w:val="22"/>
          <w:szCs w:val="22"/>
        </w:rPr>
      </w:pPr>
    </w:p>
    <w:p w14:paraId="0F58C089" w14:textId="77777777" w:rsidR="00E510CC" w:rsidRPr="00702A1E" w:rsidRDefault="00E510CC">
      <w:pPr>
        <w:pStyle w:val="Standard"/>
        <w:rPr>
          <w:sz w:val="22"/>
          <w:szCs w:val="22"/>
        </w:rPr>
      </w:pPr>
    </w:p>
    <w:p w14:paraId="6D695293" w14:textId="14CAE3BA" w:rsidR="00E510CC" w:rsidRDefault="002753F3" w:rsidP="002753F3">
      <w:pPr>
        <w:pStyle w:val="Standard"/>
        <w:ind w:left="6372"/>
        <w:rPr>
          <w:sz w:val="22"/>
          <w:szCs w:val="22"/>
        </w:rPr>
      </w:pPr>
      <w:r>
        <w:rPr>
          <w:sz w:val="22"/>
          <w:szCs w:val="22"/>
        </w:rPr>
        <w:t>Predsjednica Upravnog vijeća</w:t>
      </w:r>
    </w:p>
    <w:p w14:paraId="7B10A28B" w14:textId="77777777" w:rsidR="002753F3" w:rsidRDefault="002753F3" w:rsidP="002753F3">
      <w:pPr>
        <w:pStyle w:val="Standard"/>
        <w:ind w:left="6372"/>
        <w:rPr>
          <w:sz w:val="22"/>
          <w:szCs w:val="22"/>
        </w:rPr>
      </w:pPr>
    </w:p>
    <w:p w14:paraId="1841734A" w14:textId="49E8C1BD" w:rsidR="002753F3" w:rsidRPr="00702A1E" w:rsidRDefault="002753F3" w:rsidP="002753F3">
      <w:pPr>
        <w:pStyle w:val="Standard"/>
        <w:ind w:left="6372"/>
        <w:rPr>
          <w:sz w:val="22"/>
          <w:szCs w:val="22"/>
        </w:rPr>
      </w:pPr>
      <w:r>
        <w:rPr>
          <w:sz w:val="22"/>
          <w:szCs w:val="22"/>
        </w:rPr>
        <w:t xml:space="preserve">Anita Bikić, </w:t>
      </w:r>
      <w:proofErr w:type="spellStart"/>
      <w:r>
        <w:rPr>
          <w:sz w:val="22"/>
          <w:szCs w:val="22"/>
        </w:rPr>
        <w:t>mag.med.techn</w:t>
      </w:r>
      <w:proofErr w:type="spellEnd"/>
      <w:r>
        <w:rPr>
          <w:sz w:val="22"/>
          <w:szCs w:val="22"/>
        </w:rPr>
        <w:t>.</w:t>
      </w:r>
    </w:p>
    <w:sectPr w:rsidR="002753F3" w:rsidRPr="00702A1E" w:rsidSect="002753F3">
      <w:pgSz w:w="11906" w:h="16838" w:code="9"/>
      <w:pgMar w:top="1418" w:right="1247" w:bottom="1134" w:left="124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02CB" w14:textId="77777777" w:rsidR="00EF0895" w:rsidRDefault="00EF0895">
      <w:pPr>
        <w:spacing w:after="0" w:line="240" w:lineRule="auto"/>
      </w:pPr>
      <w:r>
        <w:separator/>
      </w:r>
    </w:p>
  </w:endnote>
  <w:endnote w:type="continuationSeparator" w:id="0">
    <w:p w14:paraId="45A37E1C" w14:textId="77777777" w:rsidR="00EF0895" w:rsidRDefault="00EF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6C2E" w14:textId="77777777" w:rsidR="00EF0895" w:rsidRDefault="00EF0895">
      <w:pPr>
        <w:spacing w:after="0" w:line="240" w:lineRule="auto"/>
      </w:pPr>
      <w:r>
        <w:rPr>
          <w:color w:val="000000"/>
        </w:rPr>
        <w:separator/>
      </w:r>
    </w:p>
  </w:footnote>
  <w:footnote w:type="continuationSeparator" w:id="0">
    <w:p w14:paraId="0259CB38" w14:textId="77777777" w:rsidR="00EF0895" w:rsidRDefault="00EF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AE"/>
    <w:multiLevelType w:val="multilevel"/>
    <w:tmpl w:val="B9BE24F2"/>
    <w:styleLink w:val="WWNum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98D14FB"/>
    <w:multiLevelType w:val="hybridMultilevel"/>
    <w:tmpl w:val="E2DC9E8A"/>
    <w:lvl w:ilvl="0" w:tplc="751E649A">
      <w:start w:val="1"/>
      <w:numFmt w:val="upperRoman"/>
      <w:lvlText w:val="%1."/>
      <w:lvlJc w:val="left"/>
      <w:pPr>
        <w:ind w:left="5565" w:hanging="720"/>
      </w:pPr>
      <w:rPr>
        <w:rFonts w:hint="default"/>
      </w:rPr>
    </w:lvl>
    <w:lvl w:ilvl="1" w:tplc="041A0019" w:tentative="1">
      <w:start w:val="1"/>
      <w:numFmt w:val="lowerLetter"/>
      <w:lvlText w:val="%2."/>
      <w:lvlJc w:val="left"/>
      <w:pPr>
        <w:ind w:left="5925" w:hanging="360"/>
      </w:pPr>
    </w:lvl>
    <w:lvl w:ilvl="2" w:tplc="041A001B" w:tentative="1">
      <w:start w:val="1"/>
      <w:numFmt w:val="lowerRoman"/>
      <w:lvlText w:val="%3."/>
      <w:lvlJc w:val="right"/>
      <w:pPr>
        <w:ind w:left="6645" w:hanging="180"/>
      </w:pPr>
    </w:lvl>
    <w:lvl w:ilvl="3" w:tplc="041A000F" w:tentative="1">
      <w:start w:val="1"/>
      <w:numFmt w:val="decimal"/>
      <w:lvlText w:val="%4."/>
      <w:lvlJc w:val="left"/>
      <w:pPr>
        <w:ind w:left="7365" w:hanging="360"/>
      </w:pPr>
    </w:lvl>
    <w:lvl w:ilvl="4" w:tplc="041A0019" w:tentative="1">
      <w:start w:val="1"/>
      <w:numFmt w:val="lowerLetter"/>
      <w:lvlText w:val="%5."/>
      <w:lvlJc w:val="left"/>
      <w:pPr>
        <w:ind w:left="8085" w:hanging="360"/>
      </w:pPr>
    </w:lvl>
    <w:lvl w:ilvl="5" w:tplc="041A001B" w:tentative="1">
      <w:start w:val="1"/>
      <w:numFmt w:val="lowerRoman"/>
      <w:lvlText w:val="%6."/>
      <w:lvlJc w:val="right"/>
      <w:pPr>
        <w:ind w:left="8805" w:hanging="180"/>
      </w:pPr>
    </w:lvl>
    <w:lvl w:ilvl="6" w:tplc="041A000F" w:tentative="1">
      <w:start w:val="1"/>
      <w:numFmt w:val="decimal"/>
      <w:lvlText w:val="%7."/>
      <w:lvlJc w:val="left"/>
      <w:pPr>
        <w:ind w:left="9525" w:hanging="360"/>
      </w:pPr>
    </w:lvl>
    <w:lvl w:ilvl="7" w:tplc="041A0019" w:tentative="1">
      <w:start w:val="1"/>
      <w:numFmt w:val="lowerLetter"/>
      <w:lvlText w:val="%8."/>
      <w:lvlJc w:val="left"/>
      <w:pPr>
        <w:ind w:left="10245" w:hanging="360"/>
      </w:pPr>
    </w:lvl>
    <w:lvl w:ilvl="8" w:tplc="041A001B" w:tentative="1">
      <w:start w:val="1"/>
      <w:numFmt w:val="lowerRoman"/>
      <w:lvlText w:val="%9."/>
      <w:lvlJc w:val="right"/>
      <w:pPr>
        <w:ind w:left="10965" w:hanging="180"/>
      </w:pPr>
    </w:lvl>
  </w:abstractNum>
  <w:abstractNum w:abstractNumId="2" w15:restartNumberingAfterBreak="0">
    <w:nsid w:val="09C61A60"/>
    <w:multiLevelType w:val="multilevel"/>
    <w:tmpl w:val="21D0857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502795"/>
    <w:multiLevelType w:val="hybridMultilevel"/>
    <w:tmpl w:val="03A04B1E"/>
    <w:lvl w:ilvl="0" w:tplc="680AB074">
      <w:start w:val="1"/>
      <w:numFmt w:val="lowerRoman"/>
      <w:lvlText w:val="%1."/>
      <w:lvlJc w:val="left"/>
      <w:pPr>
        <w:ind w:left="4845" w:hanging="720"/>
      </w:pPr>
      <w:rPr>
        <w:rFonts w:hint="default"/>
      </w:rPr>
    </w:lvl>
    <w:lvl w:ilvl="1" w:tplc="041A0019" w:tentative="1">
      <w:start w:val="1"/>
      <w:numFmt w:val="lowerLetter"/>
      <w:lvlText w:val="%2."/>
      <w:lvlJc w:val="left"/>
      <w:pPr>
        <w:ind w:left="5205" w:hanging="360"/>
      </w:pPr>
    </w:lvl>
    <w:lvl w:ilvl="2" w:tplc="041A001B" w:tentative="1">
      <w:start w:val="1"/>
      <w:numFmt w:val="lowerRoman"/>
      <w:lvlText w:val="%3."/>
      <w:lvlJc w:val="right"/>
      <w:pPr>
        <w:ind w:left="5925" w:hanging="180"/>
      </w:pPr>
    </w:lvl>
    <w:lvl w:ilvl="3" w:tplc="041A000F" w:tentative="1">
      <w:start w:val="1"/>
      <w:numFmt w:val="decimal"/>
      <w:lvlText w:val="%4."/>
      <w:lvlJc w:val="left"/>
      <w:pPr>
        <w:ind w:left="6645" w:hanging="360"/>
      </w:pPr>
    </w:lvl>
    <w:lvl w:ilvl="4" w:tplc="041A0019" w:tentative="1">
      <w:start w:val="1"/>
      <w:numFmt w:val="lowerLetter"/>
      <w:lvlText w:val="%5."/>
      <w:lvlJc w:val="left"/>
      <w:pPr>
        <w:ind w:left="7365" w:hanging="360"/>
      </w:pPr>
    </w:lvl>
    <w:lvl w:ilvl="5" w:tplc="041A001B" w:tentative="1">
      <w:start w:val="1"/>
      <w:numFmt w:val="lowerRoman"/>
      <w:lvlText w:val="%6."/>
      <w:lvlJc w:val="right"/>
      <w:pPr>
        <w:ind w:left="8085" w:hanging="180"/>
      </w:pPr>
    </w:lvl>
    <w:lvl w:ilvl="6" w:tplc="041A000F" w:tentative="1">
      <w:start w:val="1"/>
      <w:numFmt w:val="decimal"/>
      <w:lvlText w:val="%7."/>
      <w:lvlJc w:val="left"/>
      <w:pPr>
        <w:ind w:left="8805" w:hanging="360"/>
      </w:pPr>
    </w:lvl>
    <w:lvl w:ilvl="7" w:tplc="041A0019" w:tentative="1">
      <w:start w:val="1"/>
      <w:numFmt w:val="lowerLetter"/>
      <w:lvlText w:val="%8."/>
      <w:lvlJc w:val="left"/>
      <w:pPr>
        <w:ind w:left="9525" w:hanging="360"/>
      </w:pPr>
    </w:lvl>
    <w:lvl w:ilvl="8" w:tplc="041A001B" w:tentative="1">
      <w:start w:val="1"/>
      <w:numFmt w:val="lowerRoman"/>
      <w:lvlText w:val="%9."/>
      <w:lvlJc w:val="right"/>
      <w:pPr>
        <w:ind w:left="10245" w:hanging="180"/>
      </w:pPr>
    </w:lvl>
  </w:abstractNum>
  <w:abstractNum w:abstractNumId="4" w15:restartNumberingAfterBreak="0">
    <w:nsid w:val="1D6C7706"/>
    <w:multiLevelType w:val="multilevel"/>
    <w:tmpl w:val="EE421C9A"/>
    <w:styleLink w:val="WWNum1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0">
    <w:nsid w:val="1EA97BF5"/>
    <w:multiLevelType w:val="hybridMultilevel"/>
    <w:tmpl w:val="7D1074EA"/>
    <w:lvl w:ilvl="0" w:tplc="AD1A36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B25456"/>
    <w:multiLevelType w:val="multilevel"/>
    <w:tmpl w:val="65BE9CA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8620159"/>
    <w:multiLevelType w:val="multilevel"/>
    <w:tmpl w:val="CFDE2D8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10454F"/>
    <w:multiLevelType w:val="multilevel"/>
    <w:tmpl w:val="5E820E8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8ED703A"/>
    <w:multiLevelType w:val="multilevel"/>
    <w:tmpl w:val="4CE8E45C"/>
    <w:styleLink w:val="WWNum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93E06F4"/>
    <w:multiLevelType w:val="multilevel"/>
    <w:tmpl w:val="C7908C8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CF92A7C"/>
    <w:multiLevelType w:val="multilevel"/>
    <w:tmpl w:val="44B0A0BC"/>
    <w:styleLink w:val="WWNum4"/>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5F3E127E"/>
    <w:multiLevelType w:val="multilevel"/>
    <w:tmpl w:val="44166E48"/>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3" w15:restartNumberingAfterBreak="0">
    <w:nsid w:val="64A67C5B"/>
    <w:multiLevelType w:val="multilevel"/>
    <w:tmpl w:val="077A471A"/>
    <w:lvl w:ilvl="0">
      <w:numFmt w:val="bullet"/>
      <w:lvlText w:val="-"/>
      <w:lvlJc w:val="left"/>
      <w:pPr>
        <w:ind w:left="720" w:hanging="360"/>
      </w:pPr>
      <w:rPr>
        <w:rFonts w:ascii="Times New Roman" w:eastAsia="Times New Roman" w:hAnsi="Times New Roman" w:cs="Times New Roman"/>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635530E"/>
    <w:multiLevelType w:val="multilevel"/>
    <w:tmpl w:val="2864ED1C"/>
    <w:styleLink w:val="WWNum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15:restartNumberingAfterBreak="0">
    <w:nsid w:val="6A516F4F"/>
    <w:multiLevelType w:val="multilevel"/>
    <w:tmpl w:val="152EECBC"/>
    <w:styleLink w:val="WWNum3"/>
    <w:lvl w:ilvl="0">
      <w:numFmt w:val="bullet"/>
      <w:lvlText w:val=""/>
      <w:lvlJc w:val="left"/>
      <w:pPr>
        <w:ind w:left="720" w:hanging="360"/>
      </w:pPr>
    </w:lvl>
    <w:lvl w:ilvl="1">
      <w:numFmt w:val="bullet"/>
      <w:lvlText w:val=""/>
      <w:lvlJc w:val="left"/>
      <w:pPr>
        <w:ind w:left="786"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6" w15:restartNumberingAfterBreak="0">
    <w:nsid w:val="71884BBF"/>
    <w:multiLevelType w:val="multilevel"/>
    <w:tmpl w:val="4F526438"/>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8E40C30"/>
    <w:multiLevelType w:val="multilevel"/>
    <w:tmpl w:val="87EE5AFC"/>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num w:numId="1" w16cid:durableId="429859459">
    <w:abstractNumId w:val="9"/>
  </w:num>
  <w:num w:numId="2" w16cid:durableId="1834175401">
    <w:abstractNumId w:val="7"/>
  </w:num>
  <w:num w:numId="3" w16cid:durableId="1344015755">
    <w:abstractNumId w:val="15"/>
  </w:num>
  <w:num w:numId="4" w16cid:durableId="1588996676">
    <w:abstractNumId w:val="11"/>
  </w:num>
  <w:num w:numId="5" w16cid:durableId="960846138">
    <w:abstractNumId w:val="8"/>
  </w:num>
  <w:num w:numId="6" w16cid:durableId="148637339">
    <w:abstractNumId w:val="10"/>
  </w:num>
  <w:num w:numId="7" w16cid:durableId="1643272217">
    <w:abstractNumId w:val="0"/>
  </w:num>
  <w:num w:numId="8" w16cid:durableId="207104762">
    <w:abstractNumId w:val="16"/>
  </w:num>
  <w:num w:numId="9" w16cid:durableId="133374828">
    <w:abstractNumId w:val="14"/>
  </w:num>
  <w:num w:numId="10" w16cid:durableId="1324814616">
    <w:abstractNumId w:val="4"/>
  </w:num>
  <w:num w:numId="11" w16cid:durableId="1666981456">
    <w:abstractNumId w:val="2"/>
  </w:num>
  <w:num w:numId="12" w16cid:durableId="407730284">
    <w:abstractNumId w:val="6"/>
  </w:num>
  <w:num w:numId="13" w16cid:durableId="715277611">
    <w:abstractNumId w:val="12"/>
  </w:num>
  <w:num w:numId="14" w16cid:durableId="1893730202">
    <w:abstractNumId w:val="17"/>
  </w:num>
  <w:num w:numId="15" w16cid:durableId="102700516">
    <w:abstractNumId w:val="13"/>
  </w:num>
  <w:num w:numId="16" w16cid:durableId="3364834">
    <w:abstractNumId w:val="3"/>
  </w:num>
  <w:num w:numId="17" w16cid:durableId="417749716">
    <w:abstractNumId w:val="1"/>
  </w:num>
  <w:num w:numId="18" w16cid:durableId="210615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F1"/>
    <w:rsid w:val="00011D33"/>
    <w:rsid w:val="000342EB"/>
    <w:rsid w:val="00035A70"/>
    <w:rsid w:val="00060383"/>
    <w:rsid w:val="000621DA"/>
    <w:rsid w:val="000714FC"/>
    <w:rsid w:val="00074B1D"/>
    <w:rsid w:val="00083DDD"/>
    <w:rsid w:val="00085EFD"/>
    <w:rsid w:val="00091387"/>
    <w:rsid w:val="00093E32"/>
    <w:rsid w:val="000C1952"/>
    <w:rsid w:val="000F1CCB"/>
    <w:rsid w:val="00102742"/>
    <w:rsid w:val="00103D7E"/>
    <w:rsid w:val="00114158"/>
    <w:rsid w:val="00143282"/>
    <w:rsid w:val="00147947"/>
    <w:rsid w:val="00162E75"/>
    <w:rsid w:val="00165A64"/>
    <w:rsid w:val="00172759"/>
    <w:rsid w:val="001A373F"/>
    <w:rsid w:val="001A75E9"/>
    <w:rsid w:val="001B65FA"/>
    <w:rsid w:val="001D2B99"/>
    <w:rsid w:val="001E49B4"/>
    <w:rsid w:val="001F3EAC"/>
    <w:rsid w:val="00222B68"/>
    <w:rsid w:val="00231EE6"/>
    <w:rsid w:val="00235E5B"/>
    <w:rsid w:val="00246283"/>
    <w:rsid w:val="0026160F"/>
    <w:rsid w:val="0026448D"/>
    <w:rsid w:val="00273874"/>
    <w:rsid w:val="002753F3"/>
    <w:rsid w:val="002A214A"/>
    <w:rsid w:val="002C3A05"/>
    <w:rsid w:val="002C3AD3"/>
    <w:rsid w:val="00300855"/>
    <w:rsid w:val="003073C2"/>
    <w:rsid w:val="00320521"/>
    <w:rsid w:val="00320AF2"/>
    <w:rsid w:val="003218EC"/>
    <w:rsid w:val="00324715"/>
    <w:rsid w:val="00327AE9"/>
    <w:rsid w:val="00334B37"/>
    <w:rsid w:val="0034592B"/>
    <w:rsid w:val="003706A3"/>
    <w:rsid w:val="00394622"/>
    <w:rsid w:val="003C1D10"/>
    <w:rsid w:val="003C39A8"/>
    <w:rsid w:val="003C691A"/>
    <w:rsid w:val="003D6EE5"/>
    <w:rsid w:val="003F1C1B"/>
    <w:rsid w:val="003F705E"/>
    <w:rsid w:val="00404EE0"/>
    <w:rsid w:val="0040799A"/>
    <w:rsid w:val="0041156D"/>
    <w:rsid w:val="00417843"/>
    <w:rsid w:val="004331AB"/>
    <w:rsid w:val="004432C6"/>
    <w:rsid w:val="004436BC"/>
    <w:rsid w:val="0045781F"/>
    <w:rsid w:val="0047623B"/>
    <w:rsid w:val="00487224"/>
    <w:rsid w:val="004910C1"/>
    <w:rsid w:val="004D22C2"/>
    <w:rsid w:val="004F2E49"/>
    <w:rsid w:val="004F7D4B"/>
    <w:rsid w:val="0050152F"/>
    <w:rsid w:val="00530DEF"/>
    <w:rsid w:val="00572DD5"/>
    <w:rsid w:val="005B2C7E"/>
    <w:rsid w:val="005C50C3"/>
    <w:rsid w:val="005D1BB4"/>
    <w:rsid w:val="005D263F"/>
    <w:rsid w:val="005D7065"/>
    <w:rsid w:val="005E27EF"/>
    <w:rsid w:val="005F7A5C"/>
    <w:rsid w:val="006142DC"/>
    <w:rsid w:val="00625DC9"/>
    <w:rsid w:val="00627A27"/>
    <w:rsid w:val="006339DA"/>
    <w:rsid w:val="00637E67"/>
    <w:rsid w:val="00642872"/>
    <w:rsid w:val="00646E5C"/>
    <w:rsid w:val="00650497"/>
    <w:rsid w:val="00671668"/>
    <w:rsid w:val="006738FD"/>
    <w:rsid w:val="00677D04"/>
    <w:rsid w:val="006829A3"/>
    <w:rsid w:val="006853C0"/>
    <w:rsid w:val="006B18CB"/>
    <w:rsid w:val="006D1994"/>
    <w:rsid w:val="006D47BF"/>
    <w:rsid w:val="00702A1E"/>
    <w:rsid w:val="00711EA7"/>
    <w:rsid w:val="00712A4A"/>
    <w:rsid w:val="00723E5D"/>
    <w:rsid w:val="007371FF"/>
    <w:rsid w:val="00737F0D"/>
    <w:rsid w:val="0074131A"/>
    <w:rsid w:val="0074574F"/>
    <w:rsid w:val="00755097"/>
    <w:rsid w:val="00771C95"/>
    <w:rsid w:val="00787DD7"/>
    <w:rsid w:val="007B0FC8"/>
    <w:rsid w:val="007C053E"/>
    <w:rsid w:val="007C6E27"/>
    <w:rsid w:val="007C6F2E"/>
    <w:rsid w:val="007D36F8"/>
    <w:rsid w:val="007D57D7"/>
    <w:rsid w:val="007E28A5"/>
    <w:rsid w:val="007E7AAD"/>
    <w:rsid w:val="007F71B0"/>
    <w:rsid w:val="007F782D"/>
    <w:rsid w:val="00801305"/>
    <w:rsid w:val="00820E7E"/>
    <w:rsid w:val="00825002"/>
    <w:rsid w:val="00825318"/>
    <w:rsid w:val="008265D7"/>
    <w:rsid w:val="00833D29"/>
    <w:rsid w:val="008406D6"/>
    <w:rsid w:val="00845C4C"/>
    <w:rsid w:val="0084620E"/>
    <w:rsid w:val="00847316"/>
    <w:rsid w:val="00881CF9"/>
    <w:rsid w:val="008827AC"/>
    <w:rsid w:val="008C70CE"/>
    <w:rsid w:val="008C7A43"/>
    <w:rsid w:val="008E7AB2"/>
    <w:rsid w:val="008F06F1"/>
    <w:rsid w:val="009003F6"/>
    <w:rsid w:val="0091054B"/>
    <w:rsid w:val="00912FA8"/>
    <w:rsid w:val="00937404"/>
    <w:rsid w:val="00946903"/>
    <w:rsid w:val="00960275"/>
    <w:rsid w:val="00985E1B"/>
    <w:rsid w:val="00986312"/>
    <w:rsid w:val="009B0955"/>
    <w:rsid w:val="009B6021"/>
    <w:rsid w:val="009C370A"/>
    <w:rsid w:val="009C3736"/>
    <w:rsid w:val="009C74F0"/>
    <w:rsid w:val="009C7627"/>
    <w:rsid w:val="009E14B8"/>
    <w:rsid w:val="00A32476"/>
    <w:rsid w:val="00A37721"/>
    <w:rsid w:val="00A43490"/>
    <w:rsid w:val="00A55CC0"/>
    <w:rsid w:val="00A55FC0"/>
    <w:rsid w:val="00A5694C"/>
    <w:rsid w:val="00A56AD1"/>
    <w:rsid w:val="00A66977"/>
    <w:rsid w:val="00A67B9D"/>
    <w:rsid w:val="00A71E50"/>
    <w:rsid w:val="00A744DD"/>
    <w:rsid w:val="00A84517"/>
    <w:rsid w:val="00A90E2C"/>
    <w:rsid w:val="00A9761E"/>
    <w:rsid w:val="00AA4C7E"/>
    <w:rsid w:val="00AA6E92"/>
    <w:rsid w:val="00AB2826"/>
    <w:rsid w:val="00AC0006"/>
    <w:rsid w:val="00AC1C42"/>
    <w:rsid w:val="00AE09D7"/>
    <w:rsid w:val="00AF75A7"/>
    <w:rsid w:val="00B0391B"/>
    <w:rsid w:val="00B0775D"/>
    <w:rsid w:val="00B10E5E"/>
    <w:rsid w:val="00B1622B"/>
    <w:rsid w:val="00B16632"/>
    <w:rsid w:val="00B17978"/>
    <w:rsid w:val="00B21F09"/>
    <w:rsid w:val="00B24952"/>
    <w:rsid w:val="00B26451"/>
    <w:rsid w:val="00B65FCA"/>
    <w:rsid w:val="00B72274"/>
    <w:rsid w:val="00BA0995"/>
    <w:rsid w:val="00BB0D5A"/>
    <w:rsid w:val="00BB2E44"/>
    <w:rsid w:val="00BB7642"/>
    <w:rsid w:val="00BC2804"/>
    <w:rsid w:val="00BD6693"/>
    <w:rsid w:val="00BE46A8"/>
    <w:rsid w:val="00BE46DB"/>
    <w:rsid w:val="00BF004A"/>
    <w:rsid w:val="00C0360A"/>
    <w:rsid w:val="00C10509"/>
    <w:rsid w:val="00C1375C"/>
    <w:rsid w:val="00C162C1"/>
    <w:rsid w:val="00C224E8"/>
    <w:rsid w:val="00C27E5D"/>
    <w:rsid w:val="00C302A9"/>
    <w:rsid w:val="00C31B31"/>
    <w:rsid w:val="00C31F1E"/>
    <w:rsid w:val="00C332DF"/>
    <w:rsid w:val="00C478BB"/>
    <w:rsid w:val="00C60761"/>
    <w:rsid w:val="00C65D76"/>
    <w:rsid w:val="00C674A7"/>
    <w:rsid w:val="00C9075B"/>
    <w:rsid w:val="00C97AA2"/>
    <w:rsid w:val="00CB38CE"/>
    <w:rsid w:val="00CB5981"/>
    <w:rsid w:val="00CD0DE9"/>
    <w:rsid w:val="00CE40A2"/>
    <w:rsid w:val="00CF62A4"/>
    <w:rsid w:val="00D00F86"/>
    <w:rsid w:val="00D0156B"/>
    <w:rsid w:val="00D208D3"/>
    <w:rsid w:val="00D210E6"/>
    <w:rsid w:val="00D476F2"/>
    <w:rsid w:val="00D5057C"/>
    <w:rsid w:val="00D515F2"/>
    <w:rsid w:val="00D65ED3"/>
    <w:rsid w:val="00D727B6"/>
    <w:rsid w:val="00D7296E"/>
    <w:rsid w:val="00D8325A"/>
    <w:rsid w:val="00D84FC3"/>
    <w:rsid w:val="00D95955"/>
    <w:rsid w:val="00D9709A"/>
    <w:rsid w:val="00DA425C"/>
    <w:rsid w:val="00DB6013"/>
    <w:rsid w:val="00DD5518"/>
    <w:rsid w:val="00DD5BAA"/>
    <w:rsid w:val="00DE1003"/>
    <w:rsid w:val="00E27980"/>
    <w:rsid w:val="00E4241C"/>
    <w:rsid w:val="00E47500"/>
    <w:rsid w:val="00E510CC"/>
    <w:rsid w:val="00E53982"/>
    <w:rsid w:val="00E60C7B"/>
    <w:rsid w:val="00E64F47"/>
    <w:rsid w:val="00E76181"/>
    <w:rsid w:val="00E8016C"/>
    <w:rsid w:val="00E80C32"/>
    <w:rsid w:val="00E85EA9"/>
    <w:rsid w:val="00E9660F"/>
    <w:rsid w:val="00ED36BB"/>
    <w:rsid w:val="00EE0F6C"/>
    <w:rsid w:val="00EE752E"/>
    <w:rsid w:val="00EF0895"/>
    <w:rsid w:val="00F02B64"/>
    <w:rsid w:val="00F0678A"/>
    <w:rsid w:val="00F07F52"/>
    <w:rsid w:val="00F112E5"/>
    <w:rsid w:val="00F12BCA"/>
    <w:rsid w:val="00F37CA0"/>
    <w:rsid w:val="00F5591B"/>
    <w:rsid w:val="00F71097"/>
    <w:rsid w:val="00F96BDA"/>
    <w:rsid w:val="00FA03DA"/>
    <w:rsid w:val="00FA5E54"/>
    <w:rsid w:val="00FA6BF1"/>
    <w:rsid w:val="00FA7F56"/>
    <w:rsid w:val="00FB1800"/>
    <w:rsid w:val="00FB5230"/>
    <w:rsid w:val="00FC34A2"/>
    <w:rsid w:val="00FC3B84"/>
    <w:rsid w:val="00FC67A2"/>
    <w:rsid w:val="00FD5E8D"/>
    <w:rsid w:val="00FF68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3F439"/>
  <w15:docId w15:val="{4F316029-7528-4B51-BCAA-2636B85C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hr-H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hr-HR"/>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odnoje">
    <w:name w:val="footer"/>
    <w:basedOn w:val="Standard"/>
    <w:pPr>
      <w:suppressLineNumbers/>
      <w:tabs>
        <w:tab w:val="center" w:pos="4536"/>
        <w:tab w:val="right" w:pos="9072"/>
      </w:tabs>
    </w:pPr>
  </w:style>
  <w:style w:type="paragraph" w:styleId="Odlomakpopisa">
    <w:name w:val="List Paragraph"/>
    <w:basedOn w:val="Standard"/>
    <w:pPr>
      <w:spacing w:after="160" w:line="244" w:lineRule="auto"/>
      <w:ind w:left="720"/>
    </w:pPr>
    <w:rPr>
      <w:rFonts w:ascii="Calibri" w:hAnsi="Calibri" w:cs="F"/>
      <w:sz w:val="22"/>
      <w:szCs w:val="22"/>
      <w:lang w:eastAsia="en-US"/>
    </w:rPr>
  </w:style>
  <w:style w:type="paragraph" w:styleId="Zaglavlje">
    <w:name w:val="header"/>
    <w:basedOn w:val="Standard"/>
    <w:pPr>
      <w:suppressLineNumbers/>
      <w:tabs>
        <w:tab w:val="center" w:pos="4536"/>
        <w:tab w:val="right" w:pos="9072"/>
      </w:tabs>
    </w:pPr>
  </w:style>
  <w:style w:type="paragraph" w:styleId="Tekstbalonia">
    <w:name w:val="Balloon Text"/>
    <w:basedOn w:val="Standard"/>
    <w:rPr>
      <w:rFonts w:ascii="Segoe UI" w:hAnsi="Segoe UI" w:cs="Segoe UI"/>
      <w:sz w:val="18"/>
      <w:szCs w:val="18"/>
    </w:rPr>
  </w:style>
  <w:style w:type="character" w:customStyle="1" w:styleId="PodnojeChar">
    <w:name w:val="Podnožje Char"/>
    <w:basedOn w:val="Zadanifontodlomka"/>
    <w:rPr>
      <w:rFonts w:ascii="Times New Roman" w:eastAsia="Times New Roman" w:hAnsi="Times New Roman" w:cs="Times New Roman"/>
      <w:sz w:val="24"/>
      <w:szCs w:val="24"/>
      <w:lang w:eastAsia="hr-HR"/>
    </w:rPr>
  </w:style>
  <w:style w:type="character" w:customStyle="1" w:styleId="ZaglavljeChar">
    <w:name w:val="Zaglavlje Char"/>
    <w:basedOn w:val="Zadanifontodlomka"/>
    <w:rPr>
      <w:rFonts w:ascii="Times New Roman" w:eastAsia="Times New Roman" w:hAnsi="Times New Roman" w:cs="Times New Roman"/>
      <w:sz w:val="24"/>
      <w:szCs w:val="24"/>
      <w:lang w:eastAsia="hr-HR"/>
    </w:rPr>
  </w:style>
  <w:style w:type="character" w:styleId="Referencakomentara">
    <w:name w:val="annotation reference"/>
    <w:basedOn w:val="Zadanifontodlomka"/>
    <w:rPr>
      <w:sz w:val="16"/>
      <w:szCs w:val="16"/>
    </w:rPr>
  </w:style>
  <w:style w:type="character" w:customStyle="1" w:styleId="Internetlink">
    <w:name w:val="Internet link"/>
    <w:basedOn w:val="Zadanifontodlomka"/>
    <w:rPr>
      <w:color w:val="0000FF"/>
      <w:u w:val="single"/>
    </w:rPr>
  </w:style>
  <w:style w:type="character" w:customStyle="1" w:styleId="TekstbaloniaChar">
    <w:name w:val="Tekst balončića Char"/>
    <w:basedOn w:val="Zadanifontodlomka"/>
    <w:rPr>
      <w:rFonts w:ascii="Segoe UI" w:eastAsia="Times New Roman" w:hAnsi="Segoe UI" w:cs="Segoe UI"/>
      <w:sz w:val="18"/>
      <w:szCs w:val="18"/>
      <w:lang w:eastAsia="hr-HR"/>
    </w:rPr>
  </w:style>
  <w:style w:type="character" w:styleId="SlijeenaHiperveza">
    <w:name w:val="FollowedHyperlink"/>
    <w:basedOn w:val="Zadanifontodlomka"/>
    <w:rPr>
      <w:color w:val="800080"/>
      <w:u w:val="single"/>
    </w:rPr>
  </w:style>
  <w:style w:type="character" w:customStyle="1" w:styleId="ListLabel1">
    <w:name w:val="ListLabel 1"/>
    <w:rPr>
      <w:b/>
      <w:bCs/>
    </w:rPr>
  </w:style>
  <w:style w:type="character" w:customStyle="1" w:styleId="ListLabel2">
    <w:name w:val="ListLabel 2"/>
    <w:rPr>
      <w:rFonts w:cs="Courier New"/>
    </w:rPr>
  </w:style>
  <w:style w:type="paragraph" w:customStyle="1" w:styleId="TableContents">
    <w:name w:val="Table Contents"/>
    <w:basedOn w:val="Normal"/>
    <w:pPr>
      <w:widowControl/>
      <w:suppressLineNumbers/>
      <w:spacing w:after="0" w:line="240" w:lineRule="auto"/>
    </w:pPr>
    <w:rPr>
      <w:rFonts w:ascii="Times New Roman" w:eastAsia="Times New Roman" w:hAnsi="Times New Roman" w:cs="Times New Roman"/>
      <w:kern w:val="0"/>
      <w:sz w:val="24"/>
      <w:szCs w:val="24"/>
      <w:lang w:eastAsia="ar-SA"/>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 w:type="numbering" w:customStyle="1" w:styleId="WWNum5">
    <w:name w:val="WWNum5"/>
    <w:basedOn w:val="Bezpopisa"/>
    <w:pPr>
      <w:numPr>
        <w:numId w:val="5"/>
      </w:numPr>
    </w:pPr>
  </w:style>
  <w:style w:type="numbering" w:customStyle="1" w:styleId="WWNum6">
    <w:name w:val="WWNum6"/>
    <w:basedOn w:val="Bezpopisa"/>
    <w:pPr>
      <w:numPr>
        <w:numId w:val="6"/>
      </w:numPr>
    </w:pPr>
  </w:style>
  <w:style w:type="numbering" w:customStyle="1" w:styleId="WWNum7">
    <w:name w:val="WWNum7"/>
    <w:basedOn w:val="Bezpopisa"/>
    <w:pPr>
      <w:numPr>
        <w:numId w:val="7"/>
      </w:numPr>
    </w:pPr>
  </w:style>
  <w:style w:type="numbering" w:customStyle="1" w:styleId="WWNum8">
    <w:name w:val="WWNum8"/>
    <w:basedOn w:val="Bezpopisa"/>
    <w:pPr>
      <w:numPr>
        <w:numId w:val="8"/>
      </w:numPr>
    </w:pPr>
  </w:style>
  <w:style w:type="numbering" w:customStyle="1" w:styleId="WWNum9">
    <w:name w:val="WWNum9"/>
    <w:basedOn w:val="Bezpopisa"/>
    <w:pPr>
      <w:numPr>
        <w:numId w:val="9"/>
      </w:numPr>
    </w:pPr>
  </w:style>
  <w:style w:type="numbering" w:customStyle="1" w:styleId="WWNum10">
    <w:name w:val="WWNum10"/>
    <w:basedOn w:val="Bezpopis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9075">
      <w:bodyDiv w:val="1"/>
      <w:marLeft w:val="0"/>
      <w:marRight w:val="0"/>
      <w:marTop w:val="0"/>
      <w:marBottom w:val="0"/>
      <w:divBdr>
        <w:top w:val="none" w:sz="0" w:space="0" w:color="auto"/>
        <w:left w:val="none" w:sz="0" w:space="0" w:color="auto"/>
        <w:bottom w:val="none" w:sz="0" w:space="0" w:color="auto"/>
        <w:right w:val="none" w:sz="0" w:space="0" w:color="auto"/>
      </w:divBdr>
    </w:div>
    <w:div w:id="184253524">
      <w:bodyDiv w:val="1"/>
      <w:marLeft w:val="0"/>
      <w:marRight w:val="0"/>
      <w:marTop w:val="0"/>
      <w:marBottom w:val="0"/>
      <w:divBdr>
        <w:top w:val="none" w:sz="0" w:space="0" w:color="auto"/>
        <w:left w:val="none" w:sz="0" w:space="0" w:color="auto"/>
        <w:bottom w:val="none" w:sz="0" w:space="0" w:color="auto"/>
        <w:right w:val="none" w:sz="0" w:space="0" w:color="auto"/>
      </w:divBdr>
    </w:div>
    <w:div w:id="261575206">
      <w:bodyDiv w:val="1"/>
      <w:marLeft w:val="0"/>
      <w:marRight w:val="0"/>
      <w:marTop w:val="0"/>
      <w:marBottom w:val="0"/>
      <w:divBdr>
        <w:top w:val="none" w:sz="0" w:space="0" w:color="auto"/>
        <w:left w:val="none" w:sz="0" w:space="0" w:color="auto"/>
        <w:bottom w:val="none" w:sz="0" w:space="0" w:color="auto"/>
        <w:right w:val="none" w:sz="0" w:space="0" w:color="auto"/>
      </w:divBdr>
    </w:div>
    <w:div w:id="528758215">
      <w:bodyDiv w:val="1"/>
      <w:marLeft w:val="0"/>
      <w:marRight w:val="0"/>
      <w:marTop w:val="0"/>
      <w:marBottom w:val="0"/>
      <w:divBdr>
        <w:top w:val="none" w:sz="0" w:space="0" w:color="auto"/>
        <w:left w:val="none" w:sz="0" w:space="0" w:color="auto"/>
        <w:bottom w:val="none" w:sz="0" w:space="0" w:color="auto"/>
        <w:right w:val="none" w:sz="0" w:space="0" w:color="auto"/>
      </w:divBdr>
    </w:div>
    <w:div w:id="1093163099">
      <w:bodyDiv w:val="1"/>
      <w:marLeft w:val="0"/>
      <w:marRight w:val="0"/>
      <w:marTop w:val="0"/>
      <w:marBottom w:val="0"/>
      <w:divBdr>
        <w:top w:val="none" w:sz="0" w:space="0" w:color="auto"/>
        <w:left w:val="none" w:sz="0" w:space="0" w:color="auto"/>
        <w:bottom w:val="none" w:sz="0" w:space="0" w:color="auto"/>
        <w:right w:val="none" w:sz="0" w:space="0" w:color="auto"/>
      </w:divBdr>
    </w:div>
    <w:div w:id="1350983164">
      <w:bodyDiv w:val="1"/>
      <w:marLeft w:val="0"/>
      <w:marRight w:val="0"/>
      <w:marTop w:val="0"/>
      <w:marBottom w:val="0"/>
      <w:divBdr>
        <w:top w:val="none" w:sz="0" w:space="0" w:color="auto"/>
        <w:left w:val="none" w:sz="0" w:space="0" w:color="auto"/>
        <w:bottom w:val="none" w:sz="0" w:space="0" w:color="auto"/>
        <w:right w:val="none" w:sz="0" w:space="0" w:color="auto"/>
      </w:divBdr>
    </w:div>
    <w:div w:id="1390348941">
      <w:bodyDiv w:val="1"/>
      <w:marLeft w:val="0"/>
      <w:marRight w:val="0"/>
      <w:marTop w:val="0"/>
      <w:marBottom w:val="0"/>
      <w:divBdr>
        <w:top w:val="none" w:sz="0" w:space="0" w:color="auto"/>
        <w:left w:val="none" w:sz="0" w:space="0" w:color="auto"/>
        <w:bottom w:val="none" w:sz="0" w:space="0" w:color="auto"/>
        <w:right w:val="none" w:sz="0" w:space="0" w:color="auto"/>
      </w:divBdr>
    </w:div>
    <w:div w:id="187125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2FF3-3DB3-446F-BE69-C8F3647F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8434</Words>
  <Characters>48077</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PRO23_Upute za popunjavanje Obrasca 2_obrazloženja posebnog dijela proračuna / financijskog plana</vt:lpstr>
    </vt:vector>
  </TitlesOfParts>
  <Company/>
  <LinksUpToDate>false</LinksUpToDate>
  <CharactersWithSpaces>56399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PRO23_Upute za popunjavanje Obrasca 2_obrazloženja posebnog dijela proračuna / financijskog plana</dc:title>
  <dc:creator>Marušić Marija</dc:creator>
  <cp:lastModifiedBy>Korisnik</cp:lastModifiedBy>
  <cp:revision>2</cp:revision>
  <cp:lastPrinted>2023-11-07T12:00:00Z</cp:lastPrinted>
  <dcterms:created xsi:type="dcterms:W3CDTF">2023-12-29T11:16:00Z</dcterms:created>
  <dcterms:modified xsi:type="dcterms:W3CDTF">2023-12-29T11:16:00Z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