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300EF3" w14:paraId="6BE2E2F7" w14:textId="77777777">
        <w:tblPrEx>
          <w:tblCellMar>
            <w:top w:w="0" w:type="dxa"/>
            <w:bottom w:w="0" w:type="dxa"/>
          </w:tblCellMar>
        </w:tblPrEx>
        <w:trPr>
          <w:tblCellSpacing w:w="60" w:type="dxa"/>
        </w:trPr>
        <w:tc>
          <w:tcPr>
            <w:tcW w:w="1200" w:type="pct"/>
            <w:shd w:val="clear" w:color="auto" w:fill="E7F0F9"/>
          </w:tcPr>
          <w:p w14:paraId="2731F5CF" w14:textId="77777777" w:rsidR="00300EF3" w:rsidRDefault="00E42C6C">
            <w:pPr>
              <w:spacing w:after="0" w:line="240" w:lineRule="auto"/>
            </w:pPr>
            <w:r>
              <w:rPr>
                <w:b/>
              </w:rPr>
              <w:t>RKP broj</w:t>
            </w:r>
          </w:p>
        </w:tc>
        <w:tc>
          <w:tcPr>
            <w:tcW w:w="0" w:type="auto"/>
            <w:shd w:val="clear" w:color="auto" w:fill="E7F0F9"/>
          </w:tcPr>
          <w:p w14:paraId="42AFC344" w14:textId="77777777" w:rsidR="00300EF3" w:rsidRDefault="00E42C6C">
            <w:pPr>
              <w:spacing w:after="0" w:line="240" w:lineRule="auto"/>
            </w:pPr>
            <w:r>
              <w:t>37531</w:t>
            </w:r>
          </w:p>
        </w:tc>
      </w:tr>
      <w:tr w:rsidR="00300EF3" w14:paraId="5A0E0F1D" w14:textId="77777777">
        <w:tblPrEx>
          <w:tblCellMar>
            <w:top w:w="0" w:type="dxa"/>
            <w:bottom w:w="0" w:type="dxa"/>
          </w:tblCellMar>
        </w:tblPrEx>
        <w:trPr>
          <w:tblCellSpacing w:w="60" w:type="dxa"/>
        </w:trPr>
        <w:tc>
          <w:tcPr>
            <w:tcW w:w="1200" w:type="pct"/>
            <w:shd w:val="clear" w:color="auto" w:fill="E7F0F9"/>
          </w:tcPr>
          <w:p w14:paraId="7A2A00B5" w14:textId="77777777" w:rsidR="00300EF3" w:rsidRDefault="00E42C6C">
            <w:pPr>
              <w:spacing w:after="0" w:line="240" w:lineRule="auto"/>
            </w:pPr>
            <w:r>
              <w:rPr>
                <w:b/>
              </w:rPr>
              <w:t>Naziv obveznika</w:t>
            </w:r>
          </w:p>
        </w:tc>
        <w:tc>
          <w:tcPr>
            <w:tcW w:w="0" w:type="auto"/>
            <w:shd w:val="clear" w:color="auto" w:fill="E7F0F9"/>
          </w:tcPr>
          <w:p w14:paraId="386A1E02" w14:textId="77777777" w:rsidR="00300EF3" w:rsidRDefault="00E42C6C">
            <w:pPr>
              <w:spacing w:after="0" w:line="240" w:lineRule="auto"/>
            </w:pPr>
            <w:r>
              <w:t>ZAVOD ZA HITNU MEDICINU SPLITSKO-DALMATINSKE ŽUPANIJE</w:t>
            </w:r>
          </w:p>
        </w:tc>
      </w:tr>
      <w:tr w:rsidR="00300EF3" w14:paraId="29EA6954" w14:textId="77777777">
        <w:tblPrEx>
          <w:tblCellMar>
            <w:top w:w="0" w:type="dxa"/>
            <w:bottom w:w="0" w:type="dxa"/>
          </w:tblCellMar>
        </w:tblPrEx>
        <w:trPr>
          <w:tblCellSpacing w:w="60" w:type="dxa"/>
        </w:trPr>
        <w:tc>
          <w:tcPr>
            <w:tcW w:w="1200" w:type="pct"/>
            <w:shd w:val="clear" w:color="auto" w:fill="E7F0F9"/>
          </w:tcPr>
          <w:p w14:paraId="6866A3F3" w14:textId="77777777" w:rsidR="00300EF3" w:rsidRDefault="00E42C6C">
            <w:pPr>
              <w:spacing w:after="0" w:line="240" w:lineRule="auto"/>
            </w:pPr>
            <w:r>
              <w:rPr>
                <w:b/>
              </w:rPr>
              <w:t>Razina</w:t>
            </w:r>
          </w:p>
        </w:tc>
        <w:tc>
          <w:tcPr>
            <w:tcW w:w="0" w:type="auto"/>
            <w:shd w:val="clear" w:color="auto" w:fill="E7F0F9"/>
          </w:tcPr>
          <w:p w14:paraId="44AC8801" w14:textId="77777777" w:rsidR="00300EF3" w:rsidRDefault="00E42C6C">
            <w:pPr>
              <w:spacing w:after="0" w:line="240" w:lineRule="auto"/>
            </w:pPr>
            <w:r>
              <w:t>31</w:t>
            </w:r>
          </w:p>
        </w:tc>
      </w:tr>
    </w:tbl>
    <w:p w14:paraId="20D782A0" w14:textId="77777777" w:rsidR="00300EF3" w:rsidRDefault="00E42C6C">
      <w:r>
        <w:br/>
      </w:r>
    </w:p>
    <w:p w14:paraId="06BAF611" w14:textId="77777777" w:rsidR="00300EF3" w:rsidRDefault="00E42C6C">
      <w:pPr>
        <w:spacing w:line="240" w:lineRule="auto"/>
        <w:jc w:val="center"/>
      </w:pPr>
      <w:r>
        <w:rPr>
          <w:b/>
          <w:sz w:val="28"/>
        </w:rPr>
        <w:t>BILJEŠKE UZ FINANCIJSKE IZVJEŠTAJE</w:t>
      </w:r>
    </w:p>
    <w:p w14:paraId="4D7E97A8" w14:textId="77777777" w:rsidR="00300EF3" w:rsidRDefault="00E42C6C">
      <w:pPr>
        <w:spacing w:line="240" w:lineRule="auto"/>
        <w:jc w:val="center"/>
      </w:pPr>
      <w:r>
        <w:rPr>
          <w:b/>
          <w:sz w:val="28"/>
        </w:rPr>
        <w:t>ZA RAZDOBLJE</w:t>
      </w:r>
    </w:p>
    <w:p w14:paraId="0C8CEBB0" w14:textId="77777777" w:rsidR="00300EF3" w:rsidRDefault="00E42C6C">
      <w:pPr>
        <w:spacing w:line="240" w:lineRule="auto"/>
        <w:jc w:val="center"/>
      </w:pPr>
      <w:r>
        <w:rPr>
          <w:b/>
          <w:sz w:val="28"/>
        </w:rPr>
        <w:t>I - XII 2025.</w:t>
      </w:r>
    </w:p>
    <w:p w14:paraId="153A88BF" w14:textId="77777777" w:rsidR="00300EF3" w:rsidRDefault="00300EF3"/>
    <w:p w14:paraId="019CB7A5" w14:textId="77777777" w:rsidR="00300EF3" w:rsidRDefault="00E42C6C">
      <w:pPr>
        <w:keepNext/>
        <w:spacing w:line="240" w:lineRule="auto"/>
        <w:jc w:val="center"/>
      </w:pPr>
      <w:r>
        <w:rPr>
          <w:b/>
          <w:sz w:val="28"/>
        </w:rPr>
        <w:t>Izvještaj o prihodima i rashodima, primicima i izdacima</w:t>
      </w:r>
    </w:p>
    <w:p w14:paraId="743DE784" w14:textId="77777777" w:rsidR="00300EF3" w:rsidRDefault="00E42C6C">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5F0567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E7A41A"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8F1CBD"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4E4757"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13B5CA"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31D06A"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1537AC" w14:textId="77777777" w:rsidR="00300EF3" w:rsidRDefault="00E42C6C">
            <w:pPr>
              <w:keepNext/>
              <w:keepLines/>
              <w:spacing w:after="0" w:line="240" w:lineRule="auto"/>
              <w:jc w:val="center"/>
            </w:pPr>
            <w:r>
              <w:rPr>
                <w:b/>
                <w:sz w:val="18"/>
              </w:rPr>
              <w:t>Indeks (%)</w:t>
            </w:r>
          </w:p>
        </w:tc>
      </w:tr>
      <w:tr w:rsidR="00300EF3" w14:paraId="4FA70011" w14:textId="77777777">
        <w:tblPrEx>
          <w:tblCellMar>
            <w:top w:w="0" w:type="dxa"/>
            <w:bottom w:w="0" w:type="dxa"/>
          </w:tblCellMar>
        </w:tblPrEx>
        <w:trPr>
          <w:cantSplit/>
          <w:trHeight w:val="560"/>
        </w:trPr>
        <w:tc>
          <w:tcPr>
            <w:tcW w:w="700" w:type="dxa"/>
            <w:tcMar>
              <w:top w:w="0" w:type="dxa"/>
              <w:bottom w:w="0" w:type="dxa"/>
            </w:tcMar>
            <w:vAlign w:val="center"/>
          </w:tcPr>
          <w:p w14:paraId="6D6809ED" w14:textId="77777777" w:rsidR="00300EF3" w:rsidRDefault="00E42C6C">
            <w:pPr>
              <w:keepNext/>
              <w:keepLines/>
              <w:spacing w:after="0" w:line="240" w:lineRule="auto"/>
            </w:pPr>
            <w:r>
              <w:rPr>
                <w:sz w:val="18"/>
              </w:rPr>
              <w:t>6</w:t>
            </w:r>
          </w:p>
        </w:tc>
        <w:tc>
          <w:tcPr>
            <w:tcW w:w="3180" w:type="dxa"/>
            <w:tcMar>
              <w:top w:w="0" w:type="dxa"/>
              <w:bottom w:w="0" w:type="dxa"/>
            </w:tcMar>
            <w:vAlign w:val="center"/>
          </w:tcPr>
          <w:p w14:paraId="4B51C960" w14:textId="77777777" w:rsidR="00300EF3" w:rsidRDefault="00E42C6C">
            <w:pPr>
              <w:keepNext/>
              <w:keepLines/>
              <w:spacing w:after="0" w:line="240" w:lineRule="auto"/>
            </w:pPr>
            <w:r>
              <w:rPr>
                <w:sz w:val="18"/>
              </w:rPr>
              <w:t>PRIHODI POSLOVANJA (šifre 61+62+63+64+65+66+67+68)</w:t>
            </w:r>
          </w:p>
        </w:tc>
        <w:tc>
          <w:tcPr>
            <w:tcW w:w="700" w:type="dxa"/>
            <w:tcMar>
              <w:top w:w="0" w:type="dxa"/>
              <w:bottom w:w="0" w:type="dxa"/>
            </w:tcMar>
            <w:vAlign w:val="center"/>
          </w:tcPr>
          <w:p w14:paraId="1BA74085" w14:textId="77777777" w:rsidR="00300EF3" w:rsidRDefault="00E42C6C">
            <w:pPr>
              <w:keepNext/>
              <w:keepLines/>
              <w:spacing w:after="0" w:line="240" w:lineRule="auto"/>
            </w:pPr>
            <w:r>
              <w:rPr>
                <w:sz w:val="18"/>
              </w:rPr>
              <w:t>6</w:t>
            </w:r>
          </w:p>
        </w:tc>
        <w:tc>
          <w:tcPr>
            <w:tcW w:w="1860" w:type="dxa"/>
            <w:tcMar>
              <w:top w:w="0" w:type="dxa"/>
              <w:bottom w:w="0" w:type="dxa"/>
            </w:tcMar>
            <w:vAlign w:val="center"/>
          </w:tcPr>
          <w:p w14:paraId="7A62DD38" w14:textId="77777777" w:rsidR="00300EF3" w:rsidRDefault="00E42C6C">
            <w:pPr>
              <w:keepNext/>
              <w:keepLines/>
              <w:spacing w:after="0" w:line="240" w:lineRule="auto"/>
              <w:jc w:val="right"/>
            </w:pPr>
            <w:r>
              <w:rPr>
                <w:sz w:val="18"/>
              </w:rPr>
              <w:t>29.113.465,61</w:t>
            </w:r>
          </w:p>
        </w:tc>
        <w:tc>
          <w:tcPr>
            <w:tcW w:w="1860" w:type="dxa"/>
            <w:tcMar>
              <w:top w:w="0" w:type="dxa"/>
              <w:bottom w:w="0" w:type="dxa"/>
            </w:tcMar>
            <w:vAlign w:val="center"/>
          </w:tcPr>
          <w:p w14:paraId="3DCDA24F" w14:textId="77777777" w:rsidR="00300EF3" w:rsidRDefault="00E42C6C">
            <w:pPr>
              <w:keepNext/>
              <w:keepLines/>
              <w:spacing w:after="0" w:line="240" w:lineRule="auto"/>
              <w:jc w:val="right"/>
            </w:pPr>
            <w:r>
              <w:rPr>
                <w:sz w:val="18"/>
              </w:rPr>
              <w:t>33.425.584,60</w:t>
            </w:r>
          </w:p>
        </w:tc>
        <w:tc>
          <w:tcPr>
            <w:tcW w:w="700" w:type="dxa"/>
            <w:tcMar>
              <w:top w:w="0" w:type="dxa"/>
              <w:bottom w:w="0" w:type="dxa"/>
            </w:tcMar>
            <w:vAlign w:val="center"/>
          </w:tcPr>
          <w:p w14:paraId="14D87902" w14:textId="77777777" w:rsidR="00300EF3" w:rsidRDefault="00E42C6C">
            <w:pPr>
              <w:keepNext/>
              <w:keepLines/>
              <w:spacing w:after="0" w:line="240" w:lineRule="auto"/>
              <w:jc w:val="right"/>
            </w:pPr>
            <w:r>
              <w:rPr>
                <w:sz w:val="18"/>
              </w:rPr>
              <w:t>114,8</w:t>
            </w:r>
          </w:p>
        </w:tc>
      </w:tr>
      <w:tr w:rsidR="00300EF3" w14:paraId="5A2E4885" w14:textId="77777777">
        <w:tblPrEx>
          <w:tblCellMar>
            <w:top w:w="0" w:type="dxa"/>
            <w:bottom w:w="0" w:type="dxa"/>
          </w:tblCellMar>
        </w:tblPrEx>
        <w:trPr>
          <w:cantSplit/>
          <w:trHeight w:val="560"/>
        </w:trPr>
        <w:tc>
          <w:tcPr>
            <w:tcW w:w="700" w:type="dxa"/>
            <w:tcMar>
              <w:top w:w="0" w:type="dxa"/>
              <w:bottom w:w="0" w:type="dxa"/>
            </w:tcMar>
            <w:vAlign w:val="center"/>
          </w:tcPr>
          <w:p w14:paraId="54BA6ACF" w14:textId="77777777" w:rsidR="00300EF3" w:rsidRDefault="00E42C6C">
            <w:pPr>
              <w:keepNext/>
              <w:keepLines/>
              <w:spacing w:after="0" w:line="240" w:lineRule="auto"/>
            </w:pPr>
            <w:r>
              <w:rPr>
                <w:sz w:val="18"/>
              </w:rPr>
              <w:t>3</w:t>
            </w:r>
          </w:p>
        </w:tc>
        <w:tc>
          <w:tcPr>
            <w:tcW w:w="3180" w:type="dxa"/>
            <w:tcMar>
              <w:top w:w="0" w:type="dxa"/>
              <w:bottom w:w="0" w:type="dxa"/>
            </w:tcMar>
            <w:vAlign w:val="center"/>
          </w:tcPr>
          <w:p w14:paraId="0EA070DA" w14:textId="77777777" w:rsidR="00300EF3" w:rsidRDefault="00E42C6C">
            <w:pPr>
              <w:keepNext/>
              <w:keepLines/>
              <w:spacing w:after="0" w:line="240" w:lineRule="auto"/>
            </w:pPr>
            <w:r>
              <w:rPr>
                <w:sz w:val="18"/>
              </w:rPr>
              <w:t>RASHODI POSLOVANJA (šifre 31+32+34+35+36+37+38)</w:t>
            </w:r>
          </w:p>
        </w:tc>
        <w:tc>
          <w:tcPr>
            <w:tcW w:w="700" w:type="dxa"/>
            <w:tcMar>
              <w:top w:w="0" w:type="dxa"/>
              <w:bottom w:w="0" w:type="dxa"/>
            </w:tcMar>
            <w:vAlign w:val="center"/>
          </w:tcPr>
          <w:p w14:paraId="3C161304" w14:textId="77777777" w:rsidR="00300EF3" w:rsidRDefault="00E42C6C">
            <w:pPr>
              <w:keepNext/>
              <w:keepLines/>
              <w:spacing w:after="0" w:line="240" w:lineRule="auto"/>
            </w:pPr>
            <w:r>
              <w:rPr>
                <w:sz w:val="18"/>
              </w:rPr>
              <w:t>3</w:t>
            </w:r>
          </w:p>
        </w:tc>
        <w:tc>
          <w:tcPr>
            <w:tcW w:w="1860" w:type="dxa"/>
            <w:tcMar>
              <w:top w:w="0" w:type="dxa"/>
              <w:bottom w:w="0" w:type="dxa"/>
            </w:tcMar>
            <w:vAlign w:val="center"/>
          </w:tcPr>
          <w:p w14:paraId="35E466A8" w14:textId="77777777" w:rsidR="00300EF3" w:rsidRDefault="00E42C6C">
            <w:pPr>
              <w:keepNext/>
              <w:keepLines/>
              <w:spacing w:after="0" w:line="240" w:lineRule="auto"/>
              <w:jc w:val="right"/>
            </w:pPr>
            <w:r>
              <w:rPr>
                <w:sz w:val="18"/>
              </w:rPr>
              <w:t>26.000.393,71</w:t>
            </w:r>
          </w:p>
        </w:tc>
        <w:tc>
          <w:tcPr>
            <w:tcW w:w="1860" w:type="dxa"/>
            <w:tcMar>
              <w:top w:w="0" w:type="dxa"/>
              <w:bottom w:w="0" w:type="dxa"/>
            </w:tcMar>
            <w:vAlign w:val="center"/>
          </w:tcPr>
          <w:p w14:paraId="16430B95" w14:textId="77777777" w:rsidR="00300EF3" w:rsidRDefault="00E42C6C">
            <w:pPr>
              <w:keepNext/>
              <w:keepLines/>
              <w:spacing w:after="0" w:line="240" w:lineRule="auto"/>
              <w:jc w:val="right"/>
            </w:pPr>
            <w:r>
              <w:rPr>
                <w:sz w:val="18"/>
              </w:rPr>
              <w:t>29.211.675,93</w:t>
            </w:r>
          </w:p>
        </w:tc>
        <w:tc>
          <w:tcPr>
            <w:tcW w:w="700" w:type="dxa"/>
            <w:tcMar>
              <w:top w:w="0" w:type="dxa"/>
              <w:bottom w:w="0" w:type="dxa"/>
            </w:tcMar>
            <w:vAlign w:val="center"/>
          </w:tcPr>
          <w:p w14:paraId="252010B9" w14:textId="77777777" w:rsidR="00300EF3" w:rsidRDefault="00E42C6C">
            <w:pPr>
              <w:keepNext/>
              <w:keepLines/>
              <w:spacing w:after="0" w:line="240" w:lineRule="auto"/>
              <w:jc w:val="right"/>
            </w:pPr>
            <w:r>
              <w:rPr>
                <w:sz w:val="18"/>
              </w:rPr>
              <w:t>112,4</w:t>
            </w:r>
          </w:p>
        </w:tc>
      </w:tr>
      <w:tr w:rsidR="00300EF3" w14:paraId="24E84C81" w14:textId="77777777">
        <w:tblPrEx>
          <w:tblCellMar>
            <w:top w:w="0" w:type="dxa"/>
            <w:bottom w:w="0" w:type="dxa"/>
          </w:tblCellMar>
        </w:tblPrEx>
        <w:trPr>
          <w:cantSplit/>
          <w:trHeight w:val="560"/>
        </w:trPr>
        <w:tc>
          <w:tcPr>
            <w:tcW w:w="700" w:type="dxa"/>
            <w:tcMar>
              <w:top w:w="0" w:type="dxa"/>
              <w:bottom w:w="0" w:type="dxa"/>
            </w:tcMar>
            <w:vAlign w:val="center"/>
          </w:tcPr>
          <w:p w14:paraId="3CA102D0" w14:textId="77777777" w:rsidR="00300EF3" w:rsidRDefault="00300EF3">
            <w:pPr>
              <w:keepNext/>
              <w:keepLines/>
              <w:spacing w:after="0" w:line="240" w:lineRule="auto"/>
            </w:pPr>
          </w:p>
        </w:tc>
        <w:tc>
          <w:tcPr>
            <w:tcW w:w="3180" w:type="dxa"/>
            <w:tcMar>
              <w:top w:w="0" w:type="dxa"/>
              <w:bottom w:w="0" w:type="dxa"/>
            </w:tcMar>
            <w:vAlign w:val="center"/>
          </w:tcPr>
          <w:p w14:paraId="07F5C001" w14:textId="77777777" w:rsidR="00300EF3" w:rsidRDefault="00E42C6C">
            <w:pPr>
              <w:keepNext/>
              <w:keepLines/>
              <w:spacing w:after="0" w:line="240" w:lineRule="auto"/>
            </w:pPr>
            <w:r>
              <w:rPr>
                <w:b/>
                <w:sz w:val="18"/>
              </w:rPr>
              <w:t>VIŠAK PRIHODA POSLOVANJA (šifre 6-Z005)</w:t>
            </w:r>
          </w:p>
        </w:tc>
        <w:tc>
          <w:tcPr>
            <w:tcW w:w="700" w:type="dxa"/>
            <w:tcMar>
              <w:top w:w="0" w:type="dxa"/>
              <w:bottom w:w="0" w:type="dxa"/>
            </w:tcMar>
            <w:vAlign w:val="center"/>
          </w:tcPr>
          <w:p w14:paraId="79D3A30D" w14:textId="77777777" w:rsidR="00300EF3" w:rsidRDefault="00E42C6C">
            <w:pPr>
              <w:keepNext/>
              <w:keepLines/>
              <w:spacing w:after="0" w:line="240" w:lineRule="auto"/>
            </w:pPr>
            <w:r>
              <w:rPr>
                <w:b/>
                <w:sz w:val="18"/>
              </w:rPr>
              <w:t>X001</w:t>
            </w:r>
          </w:p>
        </w:tc>
        <w:tc>
          <w:tcPr>
            <w:tcW w:w="1860" w:type="dxa"/>
            <w:tcMar>
              <w:top w:w="0" w:type="dxa"/>
              <w:bottom w:w="0" w:type="dxa"/>
            </w:tcMar>
            <w:vAlign w:val="center"/>
          </w:tcPr>
          <w:p w14:paraId="47232EDF" w14:textId="77777777" w:rsidR="00300EF3" w:rsidRDefault="00E42C6C">
            <w:pPr>
              <w:keepNext/>
              <w:keepLines/>
              <w:spacing w:after="0" w:line="240" w:lineRule="auto"/>
              <w:jc w:val="right"/>
            </w:pPr>
            <w:r>
              <w:rPr>
                <w:b/>
                <w:sz w:val="18"/>
              </w:rPr>
              <w:t>3.113.071,90</w:t>
            </w:r>
          </w:p>
        </w:tc>
        <w:tc>
          <w:tcPr>
            <w:tcW w:w="1860" w:type="dxa"/>
            <w:tcMar>
              <w:top w:w="0" w:type="dxa"/>
              <w:bottom w:w="0" w:type="dxa"/>
            </w:tcMar>
            <w:vAlign w:val="center"/>
          </w:tcPr>
          <w:p w14:paraId="2BC9F24F" w14:textId="77777777" w:rsidR="00300EF3" w:rsidRDefault="00E42C6C">
            <w:pPr>
              <w:keepNext/>
              <w:keepLines/>
              <w:spacing w:after="0" w:line="240" w:lineRule="auto"/>
              <w:jc w:val="right"/>
            </w:pPr>
            <w:r>
              <w:rPr>
                <w:b/>
                <w:sz w:val="18"/>
              </w:rPr>
              <w:t>4.213.908,67</w:t>
            </w:r>
          </w:p>
        </w:tc>
        <w:tc>
          <w:tcPr>
            <w:tcW w:w="700" w:type="dxa"/>
            <w:tcMar>
              <w:top w:w="0" w:type="dxa"/>
              <w:bottom w:w="0" w:type="dxa"/>
            </w:tcMar>
            <w:vAlign w:val="center"/>
          </w:tcPr>
          <w:p w14:paraId="7D619D9B" w14:textId="77777777" w:rsidR="00300EF3" w:rsidRDefault="00E42C6C">
            <w:pPr>
              <w:keepNext/>
              <w:keepLines/>
              <w:spacing w:after="0" w:line="240" w:lineRule="auto"/>
              <w:jc w:val="right"/>
            </w:pPr>
            <w:r>
              <w:rPr>
                <w:b/>
                <w:sz w:val="18"/>
              </w:rPr>
              <w:t>135,4</w:t>
            </w:r>
          </w:p>
        </w:tc>
      </w:tr>
      <w:tr w:rsidR="00300EF3" w14:paraId="0202A1D2" w14:textId="77777777">
        <w:tblPrEx>
          <w:tblCellMar>
            <w:top w:w="0" w:type="dxa"/>
            <w:bottom w:w="0" w:type="dxa"/>
          </w:tblCellMar>
        </w:tblPrEx>
        <w:trPr>
          <w:cantSplit/>
          <w:trHeight w:val="560"/>
        </w:trPr>
        <w:tc>
          <w:tcPr>
            <w:tcW w:w="700" w:type="dxa"/>
            <w:tcMar>
              <w:top w:w="0" w:type="dxa"/>
              <w:bottom w:w="0" w:type="dxa"/>
            </w:tcMar>
            <w:vAlign w:val="center"/>
          </w:tcPr>
          <w:p w14:paraId="7ECBBAD0" w14:textId="77777777" w:rsidR="00300EF3" w:rsidRDefault="00E42C6C">
            <w:pPr>
              <w:keepNext/>
              <w:keepLines/>
              <w:spacing w:after="0" w:line="240" w:lineRule="auto"/>
            </w:pPr>
            <w:r>
              <w:rPr>
                <w:sz w:val="18"/>
              </w:rPr>
              <w:t>7</w:t>
            </w:r>
          </w:p>
        </w:tc>
        <w:tc>
          <w:tcPr>
            <w:tcW w:w="3180" w:type="dxa"/>
            <w:tcMar>
              <w:top w:w="0" w:type="dxa"/>
              <w:bottom w:w="0" w:type="dxa"/>
            </w:tcMar>
            <w:vAlign w:val="center"/>
          </w:tcPr>
          <w:p w14:paraId="68CAC87A" w14:textId="77777777" w:rsidR="00300EF3" w:rsidRDefault="00E42C6C">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679E788" w14:textId="77777777" w:rsidR="00300EF3" w:rsidRDefault="00E42C6C">
            <w:pPr>
              <w:keepNext/>
              <w:keepLines/>
              <w:spacing w:after="0" w:line="240" w:lineRule="auto"/>
            </w:pPr>
            <w:r>
              <w:rPr>
                <w:sz w:val="18"/>
              </w:rPr>
              <w:t>7</w:t>
            </w:r>
          </w:p>
        </w:tc>
        <w:tc>
          <w:tcPr>
            <w:tcW w:w="1860" w:type="dxa"/>
            <w:tcMar>
              <w:top w:w="0" w:type="dxa"/>
              <w:bottom w:w="0" w:type="dxa"/>
            </w:tcMar>
            <w:vAlign w:val="center"/>
          </w:tcPr>
          <w:p w14:paraId="4DB425DF" w14:textId="77777777" w:rsidR="00300EF3" w:rsidRDefault="00E42C6C">
            <w:pPr>
              <w:keepNext/>
              <w:keepLines/>
              <w:spacing w:after="0" w:line="240" w:lineRule="auto"/>
              <w:jc w:val="right"/>
            </w:pPr>
            <w:r>
              <w:rPr>
                <w:sz w:val="18"/>
              </w:rPr>
              <w:t>3.640,91</w:t>
            </w:r>
          </w:p>
        </w:tc>
        <w:tc>
          <w:tcPr>
            <w:tcW w:w="1860" w:type="dxa"/>
            <w:tcMar>
              <w:top w:w="0" w:type="dxa"/>
              <w:bottom w:w="0" w:type="dxa"/>
            </w:tcMar>
            <w:vAlign w:val="center"/>
          </w:tcPr>
          <w:p w14:paraId="131DB135" w14:textId="77777777" w:rsidR="00300EF3" w:rsidRDefault="00E42C6C">
            <w:pPr>
              <w:keepNext/>
              <w:keepLines/>
              <w:spacing w:after="0" w:line="240" w:lineRule="auto"/>
              <w:jc w:val="right"/>
            </w:pPr>
            <w:r>
              <w:rPr>
                <w:sz w:val="18"/>
              </w:rPr>
              <w:t>7.131,38</w:t>
            </w:r>
          </w:p>
        </w:tc>
        <w:tc>
          <w:tcPr>
            <w:tcW w:w="700" w:type="dxa"/>
            <w:tcMar>
              <w:top w:w="0" w:type="dxa"/>
              <w:bottom w:w="0" w:type="dxa"/>
            </w:tcMar>
            <w:vAlign w:val="center"/>
          </w:tcPr>
          <w:p w14:paraId="752405E2" w14:textId="77777777" w:rsidR="00300EF3" w:rsidRDefault="00E42C6C">
            <w:pPr>
              <w:keepNext/>
              <w:keepLines/>
              <w:spacing w:after="0" w:line="240" w:lineRule="auto"/>
              <w:jc w:val="right"/>
            </w:pPr>
            <w:r>
              <w:rPr>
                <w:sz w:val="18"/>
              </w:rPr>
              <w:t>195,9</w:t>
            </w:r>
          </w:p>
        </w:tc>
      </w:tr>
      <w:tr w:rsidR="00300EF3" w14:paraId="24331115" w14:textId="77777777">
        <w:tblPrEx>
          <w:tblCellMar>
            <w:top w:w="0" w:type="dxa"/>
            <w:bottom w:w="0" w:type="dxa"/>
          </w:tblCellMar>
        </w:tblPrEx>
        <w:trPr>
          <w:cantSplit/>
          <w:trHeight w:val="560"/>
        </w:trPr>
        <w:tc>
          <w:tcPr>
            <w:tcW w:w="700" w:type="dxa"/>
            <w:tcMar>
              <w:top w:w="0" w:type="dxa"/>
              <w:bottom w:w="0" w:type="dxa"/>
            </w:tcMar>
            <w:vAlign w:val="center"/>
          </w:tcPr>
          <w:p w14:paraId="3A06AC5D" w14:textId="77777777" w:rsidR="00300EF3" w:rsidRDefault="00E42C6C">
            <w:pPr>
              <w:keepNext/>
              <w:keepLines/>
              <w:spacing w:after="0" w:line="240" w:lineRule="auto"/>
            </w:pPr>
            <w:r>
              <w:rPr>
                <w:sz w:val="18"/>
              </w:rPr>
              <w:t>4</w:t>
            </w:r>
          </w:p>
        </w:tc>
        <w:tc>
          <w:tcPr>
            <w:tcW w:w="3180" w:type="dxa"/>
            <w:tcMar>
              <w:top w:w="0" w:type="dxa"/>
              <w:bottom w:w="0" w:type="dxa"/>
            </w:tcMar>
            <w:vAlign w:val="center"/>
          </w:tcPr>
          <w:p w14:paraId="2D0F32AC" w14:textId="77777777" w:rsidR="00300EF3" w:rsidRDefault="00E42C6C">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B17B485" w14:textId="77777777" w:rsidR="00300EF3" w:rsidRDefault="00E42C6C">
            <w:pPr>
              <w:keepNext/>
              <w:keepLines/>
              <w:spacing w:after="0" w:line="240" w:lineRule="auto"/>
            </w:pPr>
            <w:r>
              <w:rPr>
                <w:sz w:val="18"/>
              </w:rPr>
              <w:t>4</w:t>
            </w:r>
          </w:p>
        </w:tc>
        <w:tc>
          <w:tcPr>
            <w:tcW w:w="1860" w:type="dxa"/>
            <w:tcMar>
              <w:top w:w="0" w:type="dxa"/>
              <w:bottom w:w="0" w:type="dxa"/>
            </w:tcMar>
            <w:vAlign w:val="center"/>
          </w:tcPr>
          <w:p w14:paraId="17752976" w14:textId="77777777" w:rsidR="00300EF3" w:rsidRDefault="00E42C6C">
            <w:pPr>
              <w:keepNext/>
              <w:keepLines/>
              <w:spacing w:after="0" w:line="240" w:lineRule="auto"/>
              <w:jc w:val="right"/>
            </w:pPr>
            <w:r>
              <w:rPr>
                <w:sz w:val="18"/>
              </w:rPr>
              <w:t>2.294.745,31</w:t>
            </w:r>
          </w:p>
        </w:tc>
        <w:tc>
          <w:tcPr>
            <w:tcW w:w="1860" w:type="dxa"/>
            <w:tcMar>
              <w:top w:w="0" w:type="dxa"/>
              <w:bottom w:w="0" w:type="dxa"/>
            </w:tcMar>
            <w:vAlign w:val="center"/>
          </w:tcPr>
          <w:p w14:paraId="04C450DD" w14:textId="77777777" w:rsidR="00300EF3" w:rsidRDefault="00E42C6C">
            <w:pPr>
              <w:keepNext/>
              <w:keepLines/>
              <w:spacing w:after="0" w:line="240" w:lineRule="auto"/>
              <w:jc w:val="right"/>
            </w:pPr>
            <w:r>
              <w:rPr>
                <w:sz w:val="18"/>
              </w:rPr>
              <w:t>2.172.059,48</w:t>
            </w:r>
          </w:p>
        </w:tc>
        <w:tc>
          <w:tcPr>
            <w:tcW w:w="700" w:type="dxa"/>
            <w:tcMar>
              <w:top w:w="0" w:type="dxa"/>
              <w:bottom w:w="0" w:type="dxa"/>
            </w:tcMar>
            <w:vAlign w:val="center"/>
          </w:tcPr>
          <w:p w14:paraId="7A5EDC37" w14:textId="77777777" w:rsidR="00300EF3" w:rsidRDefault="00E42C6C">
            <w:pPr>
              <w:keepNext/>
              <w:keepLines/>
              <w:spacing w:after="0" w:line="240" w:lineRule="auto"/>
              <w:jc w:val="right"/>
            </w:pPr>
            <w:r>
              <w:rPr>
                <w:sz w:val="18"/>
              </w:rPr>
              <w:t>94,7</w:t>
            </w:r>
          </w:p>
        </w:tc>
      </w:tr>
      <w:tr w:rsidR="00300EF3" w14:paraId="0123DB07" w14:textId="77777777">
        <w:tblPrEx>
          <w:tblCellMar>
            <w:top w:w="0" w:type="dxa"/>
            <w:bottom w:w="0" w:type="dxa"/>
          </w:tblCellMar>
        </w:tblPrEx>
        <w:trPr>
          <w:cantSplit/>
          <w:trHeight w:val="560"/>
        </w:trPr>
        <w:tc>
          <w:tcPr>
            <w:tcW w:w="700" w:type="dxa"/>
            <w:tcMar>
              <w:top w:w="0" w:type="dxa"/>
              <w:bottom w:w="0" w:type="dxa"/>
            </w:tcMar>
            <w:vAlign w:val="center"/>
          </w:tcPr>
          <w:p w14:paraId="56232A12" w14:textId="77777777" w:rsidR="00300EF3" w:rsidRDefault="00300EF3">
            <w:pPr>
              <w:keepNext/>
              <w:keepLines/>
              <w:spacing w:after="0" w:line="240" w:lineRule="auto"/>
            </w:pPr>
          </w:p>
        </w:tc>
        <w:tc>
          <w:tcPr>
            <w:tcW w:w="3180" w:type="dxa"/>
            <w:tcMar>
              <w:top w:w="0" w:type="dxa"/>
              <w:bottom w:w="0" w:type="dxa"/>
            </w:tcMar>
            <w:vAlign w:val="center"/>
          </w:tcPr>
          <w:p w14:paraId="1E11CD68" w14:textId="77777777" w:rsidR="00300EF3" w:rsidRDefault="00E42C6C">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C01D298" w14:textId="77777777" w:rsidR="00300EF3" w:rsidRDefault="00E42C6C">
            <w:pPr>
              <w:keepNext/>
              <w:keepLines/>
              <w:spacing w:after="0" w:line="240" w:lineRule="auto"/>
            </w:pPr>
            <w:r>
              <w:rPr>
                <w:b/>
                <w:sz w:val="18"/>
              </w:rPr>
              <w:t>Y002</w:t>
            </w:r>
          </w:p>
        </w:tc>
        <w:tc>
          <w:tcPr>
            <w:tcW w:w="1860" w:type="dxa"/>
            <w:tcMar>
              <w:top w:w="0" w:type="dxa"/>
              <w:bottom w:w="0" w:type="dxa"/>
            </w:tcMar>
            <w:vAlign w:val="center"/>
          </w:tcPr>
          <w:p w14:paraId="5CF8D374" w14:textId="77777777" w:rsidR="00300EF3" w:rsidRDefault="00E42C6C">
            <w:pPr>
              <w:keepNext/>
              <w:keepLines/>
              <w:spacing w:after="0" w:line="240" w:lineRule="auto"/>
              <w:jc w:val="right"/>
            </w:pPr>
            <w:r>
              <w:rPr>
                <w:b/>
                <w:sz w:val="18"/>
              </w:rPr>
              <w:t>2.291.104,40</w:t>
            </w:r>
          </w:p>
        </w:tc>
        <w:tc>
          <w:tcPr>
            <w:tcW w:w="1860" w:type="dxa"/>
            <w:tcMar>
              <w:top w:w="0" w:type="dxa"/>
              <w:bottom w:w="0" w:type="dxa"/>
            </w:tcMar>
            <w:vAlign w:val="center"/>
          </w:tcPr>
          <w:p w14:paraId="50D4F8DC" w14:textId="77777777" w:rsidR="00300EF3" w:rsidRDefault="00E42C6C">
            <w:pPr>
              <w:keepNext/>
              <w:keepLines/>
              <w:spacing w:after="0" w:line="240" w:lineRule="auto"/>
              <w:jc w:val="right"/>
            </w:pPr>
            <w:r>
              <w:rPr>
                <w:b/>
                <w:sz w:val="18"/>
              </w:rPr>
              <w:t>2.164.928,10</w:t>
            </w:r>
          </w:p>
        </w:tc>
        <w:tc>
          <w:tcPr>
            <w:tcW w:w="700" w:type="dxa"/>
            <w:tcMar>
              <w:top w:w="0" w:type="dxa"/>
              <w:bottom w:w="0" w:type="dxa"/>
            </w:tcMar>
            <w:vAlign w:val="center"/>
          </w:tcPr>
          <w:p w14:paraId="155BE318" w14:textId="77777777" w:rsidR="00300EF3" w:rsidRDefault="00E42C6C">
            <w:pPr>
              <w:keepNext/>
              <w:keepLines/>
              <w:spacing w:after="0" w:line="240" w:lineRule="auto"/>
              <w:jc w:val="right"/>
            </w:pPr>
            <w:r>
              <w:rPr>
                <w:b/>
                <w:sz w:val="18"/>
              </w:rPr>
              <w:t>94,5</w:t>
            </w:r>
          </w:p>
        </w:tc>
      </w:tr>
      <w:tr w:rsidR="00300EF3" w14:paraId="49B52383" w14:textId="77777777">
        <w:tblPrEx>
          <w:tblCellMar>
            <w:top w:w="0" w:type="dxa"/>
            <w:bottom w:w="0" w:type="dxa"/>
          </w:tblCellMar>
        </w:tblPrEx>
        <w:trPr>
          <w:cantSplit/>
          <w:trHeight w:val="560"/>
        </w:trPr>
        <w:tc>
          <w:tcPr>
            <w:tcW w:w="700" w:type="dxa"/>
            <w:tcMar>
              <w:top w:w="0" w:type="dxa"/>
              <w:bottom w:w="0" w:type="dxa"/>
            </w:tcMar>
            <w:vAlign w:val="center"/>
          </w:tcPr>
          <w:p w14:paraId="57963DB6" w14:textId="77777777" w:rsidR="00300EF3" w:rsidRDefault="00E42C6C">
            <w:pPr>
              <w:keepNext/>
              <w:keepLines/>
              <w:spacing w:after="0" w:line="240" w:lineRule="auto"/>
            </w:pPr>
            <w:r>
              <w:rPr>
                <w:sz w:val="18"/>
              </w:rPr>
              <w:t>8</w:t>
            </w:r>
          </w:p>
        </w:tc>
        <w:tc>
          <w:tcPr>
            <w:tcW w:w="3180" w:type="dxa"/>
            <w:tcMar>
              <w:top w:w="0" w:type="dxa"/>
              <w:bottom w:w="0" w:type="dxa"/>
            </w:tcMar>
            <w:vAlign w:val="center"/>
          </w:tcPr>
          <w:p w14:paraId="39CA425D" w14:textId="77777777" w:rsidR="00300EF3" w:rsidRDefault="00E42C6C">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F60C786" w14:textId="77777777" w:rsidR="00300EF3" w:rsidRDefault="00E42C6C">
            <w:pPr>
              <w:keepNext/>
              <w:keepLines/>
              <w:spacing w:after="0" w:line="240" w:lineRule="auto"/>
            </w:pPr>
            <w:r>
              <w:rPr>
                <w:sz w:val="18"/>
              </w:rPr>
              <w:t>8</w:t>
            </w:r>
          </w:p>
        </w:tc>
        <w:tc>
          <w:tcPr>
            <w:tcW w:w="1860" w:type="dxa"/>
            <w:tcMar>
              <w:top w:w="0" w:type="dxa"/>
              <w:bottom w:w="0" w:type="dxa"/>
            </w:tcMar>
            <w:vAlign w:val="center"/>
          </w:tcPr>
          <w:p w14:paraId="5ED31C12" w14:textId="77777777" w:rsidR="00300EF3" w:rsidRDefault="00E42C6C">
            <w:pPr>
              <w:keepNext/>
              <w:keepLines/>
              <w:spacing w:after="0" w:line="240" w:lineRule="auto"/>
              <w:jc w:val="right"/>
            </w:pPr>
            <w:r>
              <w:rPr>
                <w:sz w:val="18"/>
              </w:rPr>
              <w:t>0,00</w:t>
            </w:r>
          </w:p>
        </w:tc>
        <w:tc>
          <w:tcPr>
            <w:tcW w:w="1860" w:type="dxa"/>
            <w:tcMar>
              <w:top w:w="0" w:type="dxa"/>
              <w:bottom w:w="0" w:type="dxa"/>
            </w:tcMar>
            <w:vAlign w:val="center"/>
          </w:tcPr>
          <w:p w14:paraId="63E8C7D0" w14:textId="77777777" w:rsidR="00300EF3" w:rsidRDefault="00E42C6C">
            <w:pPr>
              <w:keepNext/>
              <w:keepLines/>
              <w:spacing w:after="0" w:line="240" w:lineRule="auto"/>
              <w:jc w:val="right"/>
            </w:pPr>
            <w:r>
              <w:rPr>
                <w:sz w:val="18"/>
              </w:rPr>
              <w:t>0,00</w:t>
            </w:r>
          </w:p>
        </w:tc>
        <w:tc>
          <w:tcPr>
            <w:tcW w:w="700" w:type="dxa"/>
            <w:tcMar>
              <w:top w:w="0" w:type="dxa"/>
              <w:bottom w:w="0" w:type="dxa"/>
            </w:tcMar>
            <w:vAlign w:val="center"/>
          </w:tcPr>
          <w:p w14:paraId="74465844" w14:textId="77777777" w:rsidR="00300EF3" w:rsidRDefault="00E42C6C">
            <w:pPr>
              <w:keepNext/>
              <w:keepLines/>
              <w:spacing w:after="0" w:line="240" w:lineRule="auto"/>
              <w:jc w:val="right"/>
            </w:pPr>
            <w:r>
              <w:rPr>
                <w:sz w:val="18"/>
              </w:rPr>
              <w:t>-</w:t>
            </w:r>
          </w:p>
        </w:tc>
      </w:tr>
      <w:tr w:rsidR="00300EF3" w14:paraId="4B648E55" w14:textId="77777777">
        <w:tblPrEx>
          <w:tblCellMar>
            <w:top w:w="0" w:type="dxa"/>
            <w:bottom w:w="0" w:type="dxa"/>
          </w:tblCellMar>
        </w:tblPrEx>
        <w:trPr>
          <w:cantSplit/>
          <w:trHeight w:val="560"/>
        </w:trPr>
        <w:tc>
          <w:tcPr>
            <w:tcW w:w="700" w:type="dxa"/>
            <w:tcMar>
              <w:top w:w="0" w:type="dxa"/>
              <w:bottom w:w="0" w:type="dxa"/>
            </w:tcMar>
            <w:vAlign w:val="center"/>
          </w:tcPr>
          <w:p w14:paraId="45202757" w14:textId="77777777" w:rsidR="00300EF3" w:rsidRDefault="00E42C6C">
            <w:pPr>
              <w:keepNext/>
              <w:keepLines/>
              <w:spacing w:after="0" w:line="240" w:lineRule="auto"/>
            </w:pPr>
            <w:r>
              <w:rPr>
                <w:sz w:val="18"/>
              </w:rPr>
              <w:t>5</w:t>
            </w:r>
          </w:p>
        </w:tc>
        <w:tc>
          <w:tcPr>
            <w:tcW w:w="3180" w:type="dxa"/>
            <w:tcMar>
              <w:top w:w="0" w:type="dxa"/>
              <w:bottom w:w="0" w:type="dxa"/>
            </w:tcMar>
            <w:vAlign w:val="center"/>
          </w:tcPr>
          <w:p w14:paraId="7D920AC5" w14:textId="77777777" w:rsidR="00300EF3" w:rsidRDefault="00E42C6C">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6B4236C" w14:textId="77777777" w:rsidR="00300EF3" w:rsidRDefault="00E42C6C">
            <w:pPr>
              <w:keepNext/>
              <w:keepLines/>
              <w:spacing w:after="0" w:line="240" w:lineRule="auto"/>
            </w:pPr>
            <w:r>
              <w:rPr>
                <w:sz w:val="18"/>
              </w:rPr>
              <w:t>5</w:t>
            </w:r>
          </w:p>
        </w:tc>
        <w:tc>
          <w:tcPr>
            <w:tcW w:w="1860" w:type="dxa"/>
            <w:tcMar>
              <w:top w:w="0" w:type="dxa"/>
              <w:bottom w:w="0" w:type="dxa"/>
            </w:tcMar>
            <w:vAlign w:val="center"/>
          </w:tcPr>
          <w:p w14:paraId="27BFC9D1" w14:textId="77777777" w:rsidR="00300EF3" w:rsidRDefault="00E42C6C">
            <w:pPr>
              <w:keepNext/>
              <w:keepLines/>
              <w:spacing w:after="0" w:line="240" w:lineRule="auto"/>
              <w:jc w:val="right"/>
            </w:pPr>
            <w:r>
              <w:rPr>
                <w:sz w:val="18"/>
              </w:rPr>
              <w:t>0,00</w:t>
            </w:r>
          </w:p>
        </w:tc>
        <w:tc>
          <w:tcPr>
            <w:tcW w:w="1860" w:type="dxa"/>
            <w:tcMar>
              <w:top w:w="0" w:type="dxa"/>
              <w:bottom w:w="0" w:type="dxa"/>
            </w:tcMar>
            <w:vAlign w:val="center"/>
          </w:tcPr>
          <w:p w14:paraId="03AE19C4" w14:textId="77777777" w:rsidR="00300EF3" w:rsidRDefault="00E42C6C">
            <w:pPr>
              <w:keepNext/>
              <w:keepLines/>
              <w:spacing w:after="0" w:line="240" w:lineRule="auto"/>
              <w:jc w:val="right"/>
            </w:pPr>
            <w:r>
              <w:rPr>
                <w:sz w:val="18"/>
              </w:rPr>
              <w:t>0,00</w:t>
            </w:r>
          </w:p>
        </w:tc>
        <w:tc>
          <w:tcPr>
            <w:tcW w:w="700" w:type="dxa"/>
            <w:tcMar>
              <w:top w:w="0" w:type="dxa"/>
              <w:bottom w:w="0" w:type="dxa"/>
            </w:tcMar>
            <w:vAlign w:val="center"/>
          </w:tcPr>
          <w:p w14:paraId="491F2894" w14:textId="77777777" w:rsidR="00300EF3" w:rsidRDefault="00E42C6C">
            <w:pPr>
              <w:keepNext/>
              <w:keepLines/>
              <w:spacing w:after="0" w:line="240" w:lineRule="auto"/>
              <w:jc w:val="right"/>
            </w:pPr>
            <w:r>
              <w:rPr>
                <w:sz w:val="18"/>
              </w:rPr>
              <w:t>-</w:t>
            </w:r>
          </w:p>
        </w:tc>
      </w:tr>
      <w:tr w:rsidR="00300EF3" w14:paraId="35F92E4D" w14:textId="77777777">
        <w:tblPrEx>
          <w:tblCellMar>
            <w:top w:w="0" w:type="dxa"/>
            <w:bottom w:w="0" w:type="dxa"/>
          </w:tblCellMar>
        </w:tblPrEx>
        <w:trPr>
          <w:cantSplit/>
          <w:trHeight w:val="560"/>
        </w:trPr>
        <w:tc>
          <w:tcPr>
            <w:tcW w:w="700" w:type="dxa"/>
            <w:tcMar>
              <w:top w:w="0" w:type="dxa"/>
              <w:bottom w:w="0" w:type="dxa"/>
            </w:tcMar>
            <w:vAlign w:val="center"/>
          </w:tcPr>
          <w:p w14:paraId="6BB5212D" w14:textId="77777777" w:rsidR="00300EF3" w:rsidRDefault="00300EF3">
            <w:pPr>
              <w:keepNext/>
              <w:keepLines/>
              <w:spacing w:after="0" w:line="240" w:lineRule="auto"/>
            </w:pPr>
          </w:p>
        </w:tc>
        <w:tc>
          <w:tcPr>
            <w:tcW w:w="3180" w:type="dxa"/>
            <w:tcMar>
              <w:top w:w="0" w:type="dxa"/>
              <w:bottom w:w="0" w:type="dxa"/>
            </w:tcMar>
            <w:vAlign w:val="center"/>
          </w:tcPr>
          <w:p w14:paraId="1EC6B46F" w14:textId="77777777" w:rsidR="00300EF3" w:rsidRDefault="00E42C6C">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4804CE2E" w14:textId="77777777" w:rsidR="00300EF3" w:rsidRDefault="00E42C6C">
            <w:pPr>
              <w:keepNext/>
              <w:keepLines/>
              <w:spacing w:after="0" w:line="240" w:lineRule="auto"/>
            </w:pPr>
            <w:r>
              <w:rPr>
                <w:b/>
                <w:sz w:val="18"/>
              </w:rPr>
              <w:t>X003, Y003</w:t>
            </w:r>
          </w:p>
        </w:tc>
        <w:tc>
          <w:tcPr>
            <w:tcW w:w="1860" w:type="dxa"/>
            <w:tcMar>
              <w:top w:w="0" w:type="dxa"/>
              <w:bottom w:w="0" w:type="dxa"/>
            </w:tcMar>
            <w:vAlign w:val="center"/>
          </w:tcPr>
          <w:p w14:paraId="7B669BF7" w14:textId="77777777" w:rsidR="00300EF3" w:rsidRDefault="00E42C6C">
            <w:pPr>
              <w:keepNext/>
              <w:keepLines/>
              <w:spacing w:after="0" w:line="240" w:lineRule="auto"/>
              <w:jc w:val="right"/>
            </w:pPr>
            <w:r>
              <w:rPr>
                <w:b/>
                <w:sz w:val="18"/>
              </w:rPr>
              <w:t>0,00</w:t>
            </w:r>
          </w:p>
        </w:tc>
        <w:tc>
          <w:tcPr>
            <w:tcW w:w="1860" w:type="dxa"/>
            <w:tcMar>
              <w:top w:w="0" w:type="dxa"/>
              <w:bottom w:w="0" w:type="dxa"/>
            </w:tcMar>
            <w:vAlign w:val="center"/>
          </w:tcPr>
          <w:p w14:paraId="2A7A4A18" w14:textId="77777777" w:rsidR="00300EF3" w:rsidRDefault="00E42C6C">
            <w:pPr>
              <w:keepNext/>
              <w:keepLines/>
              <w:spacing w:after="0" w:line="240" w:lineRule="auto"/>
              <w:jc w:val="right"/>
            </w:pPr>
            <w:r>
              <w:rPr>
                <w:b/>
                <w:sz w:val="18"/>
              </w:rPr>
              <w:t>0,00</w:t>
            </w:r>
          </w:p>
        </w:tc>
        <w:tc>
          <w:tcPr>
            <w:tcW w:w="700" w:type="dxa"/>
            <w:tcMar>
              <w:top w:w="0" w:type="dxa"/>
              <w:bottom w:w="0" w:type="dxa"/>
            </w:tcMar>
            <w:vAlign w:val="center"/>
          </w:tcPr>
          <w:p w14:paraId="30793BD5" w14:textId="77777777" w:rsidR="00300EF3" w:rsidRDefault="00E42C6C">
            <w:pPr>
              <w:keepNext/>
              <w:keepLines/>
              <w:spacing w:after="0" w:line="240" w:lineRule="auto"/>
              <w:jc w:val="right"/>
            </w:pPr>
            <w:r>
              <w:rPr>
                <w:b/>
                <w:sz w:val="18"/>
              </w:rPr>
              <w:t>-</w:t>
            </w:r>
          </w:p>
        </w:tc>
      </w:tr>
      <w:tr w:rsidR="00300EF3" w14:paraId="18A86114" w14:textId="77777777">
        <w:tblPrEx>
          <w:tblCellMar>
            <w:top w:w="0" w:type="dxa"/>
            <w:bottom w:w="0" w:type="dxa"/>
          </w:tblCellMar>
        </w:tblPrEx>
        <w:trPr>
          <w:cantSplit/>
          <w:trHeight w:val="560"/>
        </w:trPr>
        <w:tc>
          <w:tcPr>
            <w:tcW w:w="700" w:type="dxa"/>
            <w:tcMar>
              <w:top w:w="0" w:type="dxa"/>
              <w:bottom w:w="0" w:type="dxa"/>
            </w:tcMar>
            <w:vAlign w:val="center"/>
          </w:tcPr>
          <w:p w14:paraId="3372043C" w14:textId="77777777" w:rsidR="00300EF3" w:rsidRDefault="00300EF3">
            <w:pPr>
              <w:keepNext/>
              <w:keepLines/>
              <w:spacing w:after="0" w:line="240" w:lineRule="auto"/>
            </w:pPr>
          </w:p>
        </w:tc>
        <w:tc>
          <w:tcPr>
            <w:tcW w:w="3180" w:type="dxa"/>
            <w:tcMar>
              <w:top w:w="0" w:type="dxa"/>
              <w:bottom w:w="0" w:type="dxa"/>
            </w:tcMar>
            <w:vAlign w:val="center"/>
          </w:tcPr>
          <w:p w14:paraId="3819377B" w14:textId="77777777" w:rsidR="00300EF3" w:rsidRDefault="00E42C6C">
            <w:pPr>
              <w:keepNext/>
              <w:keepLines/>
              <w:spacing w:after="0" w:line="240" w:lineRule="auto"/>
            </w:pPr>
            <w:r>
              <w:rPr>
                <w:b/>
                <w:sz w:val="18"/>
              </w:rPr>
              <w:t>VIŠAK PRIHODA I PRIMITAKA (šifre X678-Y345)</w:t>
            </w:r>
          </w:p>
        </w:tc>
        <w:tc>
          <w:tcPr>
            <w:tcW w:w="700" w:type="dxa"/>
            <w:tcMar>
              <w:top w:w="0" w:type="dxa"/>
              <w:bottom w:w="0" w:type="dxa"/>
            </w:tcMar>
            <w:vAlign w:val="center"/>
          </w:tcPr>
          <w:p w14:paraId="3A7240AD" w14:textId="77777777" w:rsidR="00300EF3" w:rsidRDefault="00E42C6C">
            <w:pPr>
              <w:keepNext/>
              <w:keepLines/>
              <w:spacing w:after="0" w:line="240" w:lineRule="auto"/>
            </w:pPr>
            <w:r>
              <w:rPr>
                <w:b/>
                <w:sz w:val="18"/>
              </w:rPr>
              <w:t>X005</w:t>
            </w:r>
          </w:p>
        </w:tc>
        <w:tc>
          <w:tcPr>
            <w:tcW w:w="1860" w:type="dxa"/>
            <w:tcMar>
              <w:top w:w="0" w:type="dxa"/>
              <w:bottom w:w="0" w:type="dxa"/>
            </w:tcMar>
            <w:vAlign w:val="center"/>
          </w:tcPr>
          <w:p w14:paraId="4C280244" w14:textId="77777777" w:rsidR="00300EF3" w:rsidRDefault="00E42C6C">
            <w:pPr>
              <w:keepNext/>
              <w:keepLines/>
              <w:spacing w:after="0" w:line="240" w:lineRule="auto"/>
              <w:jc w:val="right"/>
            </w:pPr>
            <w:r>
              <w:rPr>
                <w:b/>
                <w:sz w:val="18"/>
              </w:rPr>
              <w:t>821.967,50</w:t>
            </w:r>
          </w:p>
        </w:tc>
        <w:tc>
          <w:tcPr>
            <w:tcW w:w="1860" w:type="dxa"/>
            <w:tcMar>
              <w:top w:w="0" w:type="dxa"/>
              <w:bottom w:w="0" w:type="dxa"/>
            </w:tcMar>
            <w:vAlign w:val="center"/>
          </w:tcPr>
          <w:p w14:paraId="35EBC73E" w14:textId="77777777" w:rsidR="00300EF3" w:rsidRDefault="00E42C6C">
            <w:pPr>
              <w:keepNext/>
              <w:keepLines/>
              <w:spacing w:after="0" w:line="240" w:lineRule="auto"/>
              <w:jc w:val="right"/>
            </w:pPr>
            <w:r>
              <w:rPr>
                <w:b/>
                <w:sz w:val="18"/>
              </w:rPr>
              <w:t>2.048.980,57</w:t>
            </w:r>
          </w:p>
        </w:tc>
        <w:tc>
          <w:tcPr>
            <w:tcW w:w="700" w:type="dxa"/>
            <w:tcMar>
              <w:top w:w="0" w:type="dxa"/>
              <w:bottom w:w="0" w:type="dxa"/>
            </w:tcMar>
            <w:vAlign w:val="center"/>
          </w:tcPr>
          <w:p w14:paraId="31475583" w14:textId="77777777" w:rsidR="00300EF3" w:rsidRDefault="00E42C6C">
            <w:pPr>
              <w:keepNext/>
              <w:keepLines/>
              <w:spacing w:after="0" w:line="240" w:lineRule="auto"/>
              <w:jc w:val="right"/>
            </w:pPr>
            <w:r>
              <w:rPr>
                <w:b/>
                <w:sz w:val="18"/>
              </w:rPr>
              <w:t>249,3</w:t>
            </w:r>
          </w:p>
        </w:tc>
      </w:tr>
    </w:tbl>
    <w:p w14:paraId="0EA0F19E" w14:textId="77777777" w:rsidR="00300EF3" w:rsidRDefault="00300EF3">
      <w:pPr>
        <w:spacing w:after="0"/>
      </w:pPr>
    </w:p>
    <w:p w14:paraId="4F61FA76" w14:textId="77777777" w:rsidR="00300EF3" w:rsidRDefault="00E42C6C">
      <w:pPr>
        <w:jc w:val="both"/>
      </w:pPr>
      <w:r>
        <w:t xml:space="preserve">U razdoblju od 1. siječnja do 31. prosinca 2025.g. prihodi poslovanja ostvareni su u iznosu od 33.425.584,60 € te su 14,8 % veći u odnosu na prethodnu godinu. Najznačajnije povećanje prihoda poslovanja ostvareno je temeljem ugovora s HZZO-om zbog povećanja vrijednosti timova hitne medicine i sanitetskog prijevoza i priznavanja posebnog standarda za financiranje punktova pripravnosti, te zbog više ostvarenog prihoda od pruženih usluga </w:t>
      </w:r>
      <w:r>
        <w:lastRenderedPageBreak/>
        <w:t>(zdravstvene usluge pružene neosiguranim osobama) i ostvarene tekuće i kapitalne pomoći od Ministarstva zdravstva (za refundacije isplaćenih presuda) i od jedinica lokalne samouprave (vozilo za hitnu medicinu).</w:t>
      </w:r>
    </w:p>
    <w:p w14:paraId="7CD26651" w14:textId="77777777" w:rsidR="00300EF3" w:rsidRDefault="00E42C6C">
      <w:pPr>
        <w:jc w:val="both"/>
      </w:pPr>
      <w:r>
        <w:t xml:space="preserve">Najznačajnije smanjenje prihoda poslovanja evidentirano je na prihodima od tekućih pomoći od izvanproračunskih korisnika (ukinut </w:t>
      </w:r>
      <w:proofErr w:type="spellStart"/>
      <w:r>
        <w:t>Covid</w:t>
      </w:r>
      <w:proofErr w:type="spellEnd"/>
      <w:r>
        <w:t xml:space="preserve"> dodatak) i manje realiziranog prihoda iz nadležnog proračuna za financiranje redovne djelatnosti. Rashodi poslovanja u razdoblju od 1. siječnja do 31. prosinca 2025.g. ostvareni su u iznosu od 29.211.675,93 € te su 12,4 % veći u odnosu na prethodnu godinu. Najznačajnije povećanje rashoda evidentirano je na rashodima za zaposlene zbog povećanja osnovice i koeficijenata za obračun plaće i drugih materijalnih prava zaposlenika, zatim zbog povećanja broja zaposlenika uslijed širenja Mreže hitne medicine i</w:t>
      </w:r>
      <w:r>
        <w:t xml:space="preserve"> sanitetskog prijevoza (NN 134/2023) te zbog povećanih rashoda za tekuće i investicijsko održavanje vozila, opreme i objekata. Najznačajnije smanjenje rashoda poslovanja evidentirano je na rashodima za gorivo i službenu radnu odjeću (nabava će se izvršiti u 2026.g.) te uslugama hitnog gliserskog prijevoza sa otoka (jer je uvedena brza brodica SAR6  u okviru hitne pomorske medicinske službe). </w:t>
      </w:r>
    </w:p>
    <w:p w14:paraId="2EAC2F62" w14:textId="77777777" w:rsidR="00300EF3" w:rsidRDefault="00E42C6C">
      <w:pPr>
        <w:jc w:val="both"/>
      </w:pPr>
      <w:r>
        <w:t>U razdoblju od 1. siječnja do 31. prosinca 2025.g. prihodi od prodaje nefinancijske imovine ostvareni su u iznosu od 7.131,38 € te su 95,9 % veći u odnosu na prethodnu godinu. Povećanje prihoda posljedica je prodaje rashodovanih sanitetskih vozila. U istom razdoblju rashodi za nabavu nefinancijske imovine ostvareni su u iznosu od 2.172.059,48 € te su 5,3 % manji u odnosu na prethodnu godinu. Najznačajnije smanjenje evidentirano je na rashodima nabave vozila za hitnu medicinu i sanitetski prijevoz jer je u 2</w:t>
      </w:r>
      <w:r>
        <w:t>024.g. nabavljeno 23 nova vozila za sanitet, dok je u 2025.g. nabavljeno 11 novih vozila za hitnu medicinu. Najznačajnije povećanje rashoda evidentirano je na rashodima za nabavu računalne, komunikacijske i medicinske opreme koja je propisana novim Pravilnikom o standardima i normativima u pogledu prostora, radnika i medicinsko-tehničke opreme za obavljanje djelatnosti hitne medicine i djelatnosti sanitetskog prijevoza (NN 64/2024) i Standardima medicinske opreme, medicinskih uređaja i pribora za obavljanje</w:t>
      </w:r>
      <w:r>
        <w:t xml:space="preserve"> djelatnost.</w:t>
      </w:r>
    </w:p>
    <w:p w14:paraId="1EA2831E" w14:textId="77777777" w:rsidR="00300EF3" w:rsidRDefault="00E42C6C">
      <w:pPr>
        <w:jc w:val="both"/>
      </w:pPr>
      <w:r>
        <w:t>U navedenom razdoblju nije bilo ostvarenih primitaka i izdataka od financijske imovine i zaduživanja.  </w:t>
      </w:r>
    </w:p>
    <w:p w14:paraId="5B8CD86F" w14:textId="77777777" w:rsidR="00300EF3" w:rsidRDefault="00E42C6C">
      <w:pPr>
        <w:jc w:val="both"/>
      </w:pPr>
      <w:r>
        <w:t>U razdoblju od 1. siječnja do 31. prosinca 2025.g. ostvaren je višak prihoda poslovanja u iznosu od 4.213.908,67 € i manjak prihoda od nefinancijske imovine u iznosu od 2.164.928,10 €, slijedom čega je na kraju izvještajnog razdoblja ostvaren ukupan višak prihoda i primitak u iznosu od 2.048.980,57 €.</w:t>
      </w:r>
    </w:p>
    <w:p w14:paraId="4557FF8D" w14:textId="77777777" w:rsidR="00300EF3" w:rsidRDefault="00E42C6C">
      <w:r>
        <w:br/>
      </w:r>
    </w:p>
    <w:p w14:paraId="5BF3AD45" w14:textId="77777777" w:rsidR="00300EF3" w:rsidRDefault="00E42C6C">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302134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4B233C"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936F3E"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1F6B14"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5B91AB"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F017D3"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CED72B" w14:textId="77777777" w:rsidR="00300EF3" w:rsidRDefault="00E42C6C">
            <w:pPr>
              <w:keepNext/>
              <w:keepLines/>
              <w:spacing w:after="0" w:line="240" w:lineRule="auto"/>
              <w:jc w:val="center"/>
            </w:pPr>
            <w:r>
              <w:rPr>
                <w:b/>
                <w:sz w:val="18"/>
              </w:rPr>
              <w:t>Indeks (%)</w:t>
            </w:r>
          </w:p>
        </w:tc>
      </w:tr>
      <w:tr w:rsidR="00300EF3" w14:paraId="332612C3" w14:textId="77777777">
        <w:tblPrEx>
          <w:tblCellMar>
            <w:top w:w="0" w:type="dxa"/>
            <w:bottom w:w="0" w:type="dxa"/>
          </w:tblCellMar>
        </w:tblPrEx>
        <w:trPr>
          <w:cantSplit/>
          <w:trHeight w:val="560"/>
        </w:trPr>
        <w:tc>
          <w:tcPr>
            <w:tcW w:w="700" w:type="dxa"/>
            <w:tcMar>
              <w:top w:w="0" w:type="dxa"/>
              <w:bottom w:w="0" w:type="dxa"/>
            </w:tcMar>
            <w:vAlign w:val="center"/>
          </w:tcPr>
          <w:p w14:paraId="04D8E573" w14:textId="77777777" w:rsidR="00300EF3" w:rsidRDefault="00E42C6C">
            <w:pPr>
              <w:keepNext/>
              <w:keepLines/>
              <w:spacing w:after="0" w:line="240" w:lineRule="auto"/>
            </w:pPr>
            <w:r>
              <w:rPr>
                <w:sz w:val="18"/>
              </w:rPr>
              <w:t>6341</w:t>
            </w:r>
          </w:p>
        </w:tc>
        <w:tc>
          <w:tcPr>
            <w:tcW w:w="3180" w:type="dxa"/>
            <w:tcMar>
              <w:top w:w="0" w:type="dxa"/>
              <w:bottom w:w="0" w:type="dxa"/>
            </w:tcMar>
            <w:vAlign w:val="center"/>
          </w:tcPr>
          <w:p w14:paraId="0FE72700" w14:textId="77777777" w:rsidR="00300EF3" w:rsidRDefault="00E42C6C">
            <w:pPr>
              <w:keepNext/>
              <w:keepLines/>
              <w:spacing w:after="0" w:line="240" w:lineRule="auto"/>
            </w:pPr>
            <w:r>
              <w:rPr>
                <w:sz w:val="18"/>
              </w:rPr>
              <w:t>Tekuće pomoći od izvanproračunskih korisnika</w:t>
            </w:r>
          </w:p>
        </w:tc>
        <w:tc>
          <w:tcPr>
            <w:tcW w:w="700" w:type="dxa"/>
            <w:tcMar>
              <w:top w:w="0" w:type="dxa"/>
              <w:bottom w:w="0" w:type="dxa"/>
            </w:tcMar>
            <w:vAlign w:val="center"/>
          </w:tcPr>
          <w:p w14:paraId="31CFE3A6" w14:textId="77777777" w:rsidR="00300EF3" w:rsidRDefault="00E42C6C">
            <w:pPr>
              <w:keepNext/>
              <w:keepLines/>
              <w:spacing w:after="0" w:line="240" w:lineRule="auto"/>
            </w:pPr>
            <w:r>
              <w:rPr>
                <w:sz w:val="18"/>
              </w:rPr>
              <w:t>6341</w:t>
            </w:r>
          </w:p>
        </w:tc>
        <w:tc>
          <w:tcPr>
            <w:tcW w:w="1860" w:type="dxa"/>
            <w:tcMar>
              <w:top w:w="0" w:type="dxa"/>
              <w:bottom w:w="0" w:type="dxa"/>
            </w:tcMar>
            <w:vAlign w:val="center"/>
          </w:tcPr>
          <w:p w14:paraId="0F5D1712" w14:textId="77777777" w:rsidR="00300EF3" w:rsidRDefault="00E42C6C">
            <w:pPr>
              <w:keepNext/>
              <w:keepLines/>
              <w:spacing w:after="0" w:line="240" w:lineRule="auto"/>
              <w:jc w:val="right"/>
            </w:pPr>
            <w:r>
              <w:rPr>
                <w:sz w:val="18"/>
              </w:rPr>
              <w:t>769.231,73</w:t>
            </w:r>
          </w:p>
        </w:tc>
        <w:tc>
          <w:tcPr>
            <w:tcW w:w="1860" w:type="dxa"/>
            <w:tcMar>
              <w:top w:w="0" w:type="dxa"/>
              <w:bottom w:w="0" w:type="dxa"/>
            </w:tcMar>
            <w:vAlign w:val="center"/>
          </w:tcPr>
          <w:p w14:paraId="014AD71F" w14:textId="77777777" w:rsidR="00300EF3" w:rsidRDefault="00E42C6C">
            <w:pPr>
              <w:keepNext/>
              <w:keepLines/>
              <w:spacing w:after="0" w:line="240" w:lineRule="auto"/>
              <w:jc w:val="right"/>
            </w:pPr>
            <w:r>
              <w:rPr>
                <w:sz w:val="18"/>
              </w:rPr>
              <w:t>0,00</w:t>
            </w:r>
          </w:p>
        </w:tc>
        <w:tc>
          <w:tcPr>
            <w:tcW w:w="700" w:type="dxa"/>
            <w:tcMar>
              <w:top w:w="0" w:type="dxa"/>
              <w:bottom w:w="0" w:type="dxa"/>
            </w:tcMar>
            <w:vAlign w:val="center"/>
          </w:tcPr>
          <w:p w14:paraId="2F2B81FA" w14:textId="77777777" w:rsidR="00300EF3" w:rsidRDefault="00E42C6C">
            <w:pPr>
              <w:keepNext/>
              <w:keepLines/>
              <w:spacing w:after="0" w:line="240" w:lineRule="auto"/>
              <w:jc w:val="right"/>
            </w:pPr>
            <w:r>
              <w:rPr>
                <w:sz w:val="18"/>
              </w:rPr>
              <w:t>0</w:t>
            </w:r>
          </w:p>
        </w:tc>
      </w:tr>
    </w:tbl>
    <w:p w14:paraId="56AA97FF" w14:textId="77777777" w:rsidR="00300EF3" w:rsidRDefault="00300EF3">
      <w:pPr>
        <w:spacing w:after="0"/>
      </w:pPr>
    </w:p>
    <w:p w14:paraId="6995E8F7" w14:textId="77777777" w:rsidR="00300EF3" w:rsidRDefault="00E42C6C">
      <w:pPr>
        <w:jc w:val="both"/>
      </w:pPr>
      <w:r>
        <w:t>U 2024.g. na ovoj poziciji je sukladno Okružnici Ministarstva financija bio iskazan prihod od HZZO-a za isplatu posebne nagrade radnicima u sustavu zdravstva koji obavljaju poslove vezane za pružanje zdravstvene skrbi pacijentima oboljelima od bolesti Covid-19 (odluka Vlade RH NN 136/2020). U 2025.g. nije ostvaren prihod po ovoj osnovi jer je odlukom Vlade RH stavljena izvan snage odluka o posebnoj nagradi za obavljanje poslova pružanja skrbi pacijentima oboljelima od bolesti Covid-19 (NN 99/2024).</w:t>
      </w:r>
    </w:p>
    <w:p w14:paraId="37172D4A" w14:textId="77777777" w:rsidR="00300EF3" w:rsidRDefault="00300EF3"/>
    <w:p w14:paraId="0F313665" w14:textId="77777777" w:rsidR="00300EF3" w:rsidRDefault="00E42C6C">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2D0FE1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00713E"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054C57"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4E5FFA"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C4C068"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160D4E"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0933AA" w14:textId="77777777" w:rsidR="00300EF3" w:rsidRDefault="00E42C6C">
            <w:pPr>
              <w:keepNext/>
              <w:keepLines/>
              <w:spacing w:after="0" w:line="240" w:lineRule="auto"/>
              <w:jc w:val="center"/>
            </w:pPr>
            <w:r>
              <w:rPr>
                <w:b/>
                <w:sz w:val="18"/>
              </w:rPr>
              <w:t>Indeks (%)</w:t>
            </w:r>
          </w:p>
        </w:tc>
      </w:tr>
      <w:tr w:rsidR="00300EF3" w14:paraId="64132B93" w14:textId="77777777">
        <w:tblPrEx>
          <w:tblCellMar>
            <w:top w:w="0" w:type="dxa"/>
            <w:bottom w:w="0" w:type="dxa"/>
          </w:tblCellMar>
        </w:tblPrEx>
        <w:trPr>
          <w:cantSplit/>
          <w:trHeight w:val="560"/>
        </w:trPr>
        <w:tc>
          <w:tcPr>
            <w:tcW w:w="700" w:type="dxa"/>
            <w:tcMar>
              <w:top w:w="0" w:type="dxa"/>
              <w:bottom w:w="0" w:type="dxa"/>
            </w:tcMar>
            <w:vAlign w:val="center"/>
          </w:tcPr>
          <w:p w14:paraId="5555E4D6" w14:textId="77777777" w:rsidR="00300EF3" w:rsidRDefault="00E42C6C">
            <w:pPr>
              <w:keepNext/>
              <w:keepLines/>
              <w:spacing w:after="0" w:line="240" w:lineRule="auto"/>
            </w:pPr>
            <w:r>
              <w:rPr>
                <w:sz w:val="18"/>
              </w:rPr>
              <w:t>6361</w:t>
            </w:r>
          </w:p>
        </w:tc>
        <w:tc>
          <w:tcPr>
            <w:tcW w:w="3180" w:type="dxa"/>
            <w:tcMar>
              <w:top w:w="0" w:type="dxa"/>
              <w:bottom w:w="0" w:type="dxa"/>
            </w:tcMar>
            <w:vAlign w:val="center"/>
          </w:tcPr>
          <w:p w14:paraId="5B38D981" w14:textId="77777777" w:rsidR="00300EF3" w:rsidRDefault="00E42C6C">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2EFD1C0E" w14:textId="77777777" w:rsidR="00300EF3" w:rsidRDefault="00E42C6C">
            <w:pPr>
              <w:keepNext/>
              <w:keepLines/>
              <w:spacing w:after="0" w:line="240" w:lineRule="auto"/>
            </w:pPr>
            <w:r>
              <w:rPr>
                <w:sz w:val="18"/>
              </w:rPr>
              <w:t>6361</w:t>
            </w:r>
          </w:p>
        </w:tc>
        <w:tc>
          <w:tcPr>
            <w:tcW w:w="1860" w:type="dxa"/>
            <w:tcMar>
              <w:top w:w="0" w:type="dxa"/>
              <w:bottom w:w="0" w:type="dxa"/>
            </w:tcMar>
            <w:vAlign w:val="center"/>
          </w:tcPr>
          <w:p w14:paraId="3F2A1808" w14:textId="77777777" w:rsidR="00300EF3" w:rsidRDefault="00E42C6C">
            <w:pPr>
              <w:keepNext/>
              <w:keepLines/>
              <w:spacing w:after="0" w:line="240" w:lineRule="auto"/>
              <w:jc w:val="right"/>
            </w:pPr>
            <w:r>
              <w:rPr>
                <w:sz w:val="18"/>
              </w:rPr>
              <w:t>237.288,75</w:t>
            </w:r>
          </w:p>
        </w:tc>
        <w:tc>
          <w:tcPr>
            <w:tcW w:w="1860" w:type="dxa"/>
            <w:tcMar>
              <w:top w:w="0" w:type="dxa"/>
              <w:bottom w:w="0" w:type="dxa"/>
            </w:tcMar>
            <w:vAlign w:val="center"/>
          </w:tcPr>
          <w:p w14:paraId="4CE8C7AB" w14:textId="77777777" w:rsidR="00300EF3" w:rsidRDefault="00E42C6C">
            <w:pPr>
              <w:keepNext/>
              <w:keepLines/>
              <w:spacing w:after="0" w:line="240" w:lineRule="auto"/>
              <w:jc w:val="right"/>
            </w:pPr>
            <w:r>
              <w:rPr>
                <w:sz w:val="18"/>
              </w:rPr>
              <w:t>269.510,11</w:t>
            </w:r>
          </w:p>
        </w:tc>
        <w:tc>
          <w:tcPr>
            <w:tcW w:w="700" w:type="dxa"/>
            <w:tcMar>
              <w:top w:w="0" w:type="dxa"/>
              <w:bottom w:w="0" w:type="dxa"/>
            </w:tcMar>
            <w:vAlign w:val="center"/>
          </w:tcPr>
          <w:p w14:paraId="1940C004" w14:textId="77777777" w:rsidR="00300EF3" w:rsidRDefault="00E42C6C">
            <w:pPr>
              <w:keepNext/>
              <w:keepLines/>
              <w:spacing w:after="0" w:line="240" w:lineRule="auto"/>
              <w:jc w:val="right"/>
            </w:pPr>
            <w:r>
              <w:rPr>
                <w:sz w:val="18"/>
              </w:rPr>
              <w:t>113,6</w:t>
            </w:r>
          </w:p>
        </w:tc>
      </w:tr>
    </w:tbl>
    <w:p w14:paraId="4E7B833D" w14:textId="77777777" w:rsidR="00300EF3" w:rsidRDefault="00300EF3">
      <w:pPr>
        <w:spacing w:after="0"/>
      </w:pPr>
    </w:p>
    <w:p w14:paraId="73669705" w14:textId="77777777" w:rsidR="00300EF3" w:rsidRDefault="00E42C6C">
      <w:pPr>
        <w:jc w:val="both"/>
      </w:pPr>
      <w:r>
        <w:t>Tekuće pomoći proračunskim korisnicima iz proračuna koji im nije nadležan sastoje se od sredstava pomoći od jedinica lokalne samouprave za financiranje dodatnih timova hitne medicine, od sredstava za zdravstvene usluge pružene azilantima (u 2024.g.), od doznake 15 % od Ministarstva zdravstva za financiranja rashoda za osam specijalizanata na specijalističkom usavršavanju (u 2024.g.), od refundacije sredstava od Ministarstva zdravstva za isplaćene pravomoćne sudske presude za dodatke na prekovremeni rad i os</w:t>
      </w:r>
      <w:r>
        <w:t xml:space="preserve">novicu te za dodatne timove hitne medicine za vrijeme turističke sezone. U 2025.g. je ostvaren prihod na ovoj poziciji u iznosu od 269.510,11 €, odnosno došlo je do povećanja od 13,6 % zbog veće refundacije sredstava od Ministarstva zdravstva za isplaćene presude za dodatke na prekovremeni rad (koje su isplaćene zaposlenicima u razdoblju od rujna 2023.g. do siječnja 2025.g.) te presuda za osnovicu (koje su isplaćene zaposlenicima u razdoblju od ožujka 2024.g. do siječnja 2025.g.) ali i zbog više doznačenih </w:t>
      </w:r>
      <w:r>
        <w:t>sredstava od Ministarstva turizma za dodatne timove hitne medicine za vrijeme turističke sezone i zbog više doznačenih sredstava od jedinica lokalne samouprave za dodatne timove tijekom turističke sezone. Refundacije troškova po projektima specijalizacija doktora iz hitne medicine koje su se financirale iz ovog izvora su okončane u 2024.g, te u 2025.g. više nema ove vrste prihoda.</w:t>
      </w:r>
    </w:p>
    <w:p w14:paraId="41BC8F2E" w14:textId="77777777" w:rsidR="00300EF3" w:rsidRDefault="00E42C6C">
      <w:r>
        <w:t> </w:t>
      </w:r>
    </w:p>
    <w:p w14:paraId="79CDB4FE" w14:textId="77777777" w:rsidR="00300EF3" w:rsidRDefault="00300EF3"/>
    <w:p w14:paraId="63A579F2" w14:textId="77777777" w:rsidR="00300EF3" w:rsidRDefault="00E42C6C">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473901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44148D"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D544AE"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B8B0C9"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62E650"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2A55FD"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31BD54" w14:textId="77777777" w:rsidR="00300EF3" w:rsidRDefault="00E42C6C">
            <w:pPr>
              <w:keepNext/>
              <w:keepLines/>
              <w:spacing w:after="0" w:line="240" w:lineRule="auto"/>
              <w:jc w:val="center"/>
            </w:pPr>
            <w:r>
              <w:rPr>
                <w:b/>
                <w:sz w:val="18"/>
              </w:rPr>
              <w:t>Indeks (%)</w:t>
            </w:r>
          </w:p>
        </w:tc>
      </w:tr>
      <w:tr w:rsidR="00300EF3" w14:paraId="460BCEDD" w14:textId="77777777">
        <w:tblPrEx>
          <w:tblCellMar>
            <w:top w:w="0" w:type="dxa"/>
            <w:bottom w:w="0" w:type="dxa"/>
          </w:tblCellMar>
        </w:tblPrEx>
        <w:trPr>
          <w:cantSplit/>
          <w:trHeight w:val="560"/>
        </w:trPr>
        <w:tc>
          <w:tcPr>
            <w:tcW w:w="700" w:type="dxa"/>
            <w:tcMar>
              <w:top w:w="0" w:type="dxa"/>
              <w:bottom w:w="0" w:type="dxa"/>
            </w:tcMar>
            <w:vAlign w:val="center"/>
          </w:tcPr>
          <w:p w14:paraId="70E853C2" w14:textId="77777777" w:rsidR="00300EF3" w:rsidRDefault="00E42C6C">
            <w:pPr>
              <w:keepNext/>
              <w:keepLines/>
              <w:spacing w:after="0" w:line="240" w:lineRule="auto"/>
            </w:pPr>
            <w:r>
              <w:rPr>
                <w:sz w:val="18"/>
              </w:rPr>
              <w:t>6362</w:t>
            </w:r>
          </w:p>
        </w:tc>
        <w:tc>
          <w:tcPr>
            <w:tcW w:w="3180" w:type="dxa"/>
            <w:tcMar>
              <w:top w:w="0" w:type="dxa"/>
              <w:bottom w:w="0" w:type="dxa"/>
            </w:tcMar>
            <w:vAlign w:val="center"/>
          </w:tcPr>
          <w:p w14:paraId="1BE235DC" w14:textId="77777777" w:rsidR="00300EF3" w:rsidRDefault="00E42C6C">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5039007A" w14:textId="77777777" w:rsidR="00300EF3" w:rsidRDefault="00E42C6C">
            <w:pPr>
              <w:keepNext/>
              <w:keepLines/>
              <w:spacing w:after="0" w:line="240" w:lineRule="auto"/>
            </w:pPr>
            <w:r>
              <w:rPr>
                <w:sz w:val="18"/>
              </w:rPr>
              <w:t>6362</w:t>
            </w:r>
          </w:p>
        </w:tc>
        <w:tc>
          <w:tcPr>
            <w:tcW w:w="1860" w:type="dxa"/>
            <w:tcMar>
              <w:top w:w="0" w:type="dxa"/>
              <w:bottom w:w="0" w:type="dxa"/>
            </w:tcMar>
            <w:vAlign w:val="center"/>
          </w:tcPr>
          <w:p w14:paraId="35D43411" w14:textId="77777777" w:rsidR="00300EF3" w:rsidRDefault="00E42C6C">
            <w:pPr>
              <w:keepNext/>
              <w:keepLines/>
              <w:spacing w:after="0" w:line="240" w:lineRule="auto"/>
              <w:jc w:val="right"/>
            </w:pPr>
            <w:r>
              <w:rPr>
                <w:sz w:val="18"/>
              </w:rPr>
              <w:t>9.175,00</w:t>
            </w:r>
          </w:p>
        </w:tc>
        <w:tc>
          <w:tcPr>
            <w:tcW w:w="1860" w:type="dxa"/>
            <w:tcMar>
              <w:top w:w="0" w:type="dxa"/>
              <w:bottom w:w="0" w:type="dxa"/>
            </w:tcMar>
            <w:vAlign w:val="center"/>
          </w:tcPr>
          <w:p w14:paraId="28DE51A9" w14:textId="77777777" w:rsidR="00300EF3" w:rsidRDefault="00E42C6C">
            <w:pPr>
              <w:keepNext/>
              <w:keepLines/>
              <w:spacing w:after="0" w:line="240" w:lineRule="auto"/>
              <w:jc w:val="right"/>
            </w:pPr>
            <w:r>
              <w:rPr>
                <w:sz w:val="18"/>
              </w:rPr>
              <w:t>115.500,00</w:t>
            </w:r>
          </w:p>
        </w:tc>
        <w:tc>
          <w:tcPr>
            <w:tcW w:w="700" w:type="dxa"/>
            <w:tcMar>
              <w:top w:w="0" w:type="dxa"/>
              <w:bottom w:w="0" w:type="dxa"/>
            </w:tcMar>
            <w:vAlign w:val="center"/>
          </w:tcPr>
          <w:p w14:paraId="73EF7FEE" w14:textId="77777777" w:rsidR="00300EF3" w:rsidRDefault="00E42C6C">
            <w:pPr>
              <w:keepNext/>
              <w:keepLines/>
              <w:spacing w:after="0" w:line="240" w:lineRule="auto"/>
              <w:jc w:val="right"/>
            </w:pPr>
            <w:r>
              <w:rPr>
                <w:sz w:val="18"/>
              </w:rPr>
              <w:t>1258,9</w:t>
            </w:r>
          </w:p>
        </w:tc>
      </w:tr>
    </w:tbl>
    <w:p w14:paraId="4E0BC26F" w14:textId="77777777" w:rsidR="00300EF3" w:rsidRDefault="00300EF3">
      <w:pPr>
        <w:spacing w:after="0"/>
      </w:pPr>
    </w:p>
    <w:p w14:paraId="342F0779" w14:textId="77777777" w:rsidR="00300EF3" w:rsidRDefault="00E42C6C">
      <w:pPr>
        <w:jc w:val="both"/>
      </w:pPr>
      <w:r>
        <w:t>U 2024.g. je ostvarena kapitalna pomoć iz državnog proračuna u iznosu od 9.175,00 € i odnosi se na doznaku sredstava od Ministarstva zdravstva temeljem Sporazuma o nabavi i financiranju medicinske opreme za potrebe opremanja helikopterske hitne medicinske službe (HHMS). U 2025.g. Zavod je ostvario kapitalnu pomoć u iznosu od 115.000,00 € od strane jedinica lokalne samouprave s makarskog područja (Grad Makarska i općine Baška Voda, Brela, Gradac, Podgora i Tučepi) u svrhu nabave jednog vozila za izvanbolničk</w:t>
      </w:r>
      <w:r>
        <w:t>u hitnu medicinu, te 500,00 € od Grada Supetra za nabavu bijele tehnike za opremanje ispostave.</w:t>
      </w:r>
    </w:p>
    <w:p w14:paraId="0B3E7D0F" w14:textId="77777777" w:rsidR="00300EF3" w:rsidRDefault="00300EF3"/>
    <w:p w14:paraId="77506297" w14:textId="77777777" w:rsidR="00300EF3" w:rsidRDefault="00E42C6C">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2A85A5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E33942"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18834C"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71F125"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3CFFEB"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32AE5E"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581761" w14:textId="77777777" w:rsidR="00300EF3" w:rsidRDefault="00E42C6C">
            <w:pPr>
              <w:keepNext/>
              <w:keepLines/>
              <w:spacing w:after="0" w:line="240" w:lineRule="auto"/>
              <w:jc w:val="center"/>
            </w:pPr>
            <w:r>
              <w:rPr>
                <w:b/>
                <w:sz w:val="18"/>
              </w:rPr>
              <w:t>Indeks (%)</w:t>
            </w:r>
          </w:p>
        </w:tc>
      </w:tr>
      <w:tr w:rsidR="00300EF3" w14:paraId="5ABFD5B3" w14:textId="77777777">
        <w:tblPrEx>
          <w:tblCellMar>
            <w:top w:w="0" w:type="dxa"/>
            <w:bottom w:w="0" w:type="dxa"/>
          </w:tblCellMar>
        </w:tblPrEx>
        <w:trPr>
          <w:cantSplit/>
          <w:trHeight w:val="560"/>
        </w:trPr>
        <w:tc>
          <w:tcPr>
            <w:tcW w:w="700" w:type="dxa"/>
            <w:tcMar>
              <w:top w:w="0" w:type="dxa"/>
              <w:bottom w:w="0" w:type="dxa"/>
            </w:tcMar>
            <w:vAlign w:val="center"/>
          </w:tcPr>
          <w:p w14:paraId="643680D6" w14:textId="77777777" w:rsidR="00300EF3" w:rsidRDefault="00E42C6C">
            <w:pPr>
              <w:keepNext/>
              <w:keepLines/>
              <w:spacing w:after="0" w:line="240" w:lineRule="auto"/>
            </w:pPr>
            <w:r>
              <w:rPr>
                <w:sz w:val="18"/>
              </w:rPr>
              <w:t>6381</w:t>
            </w:r>
          </w:p>
        </w:tc>
        <w:tc>
          <w:tcPr>
            <w:tcW w:w="3180" w:type="dxa"/>
            <w:tcMar>
              <w:top w:w="0" w:type="dxa"/>
              <w:bottom w:w="0" w:type="dxa"/>
            </w:tcMar>
            <w:vAlign w:val="center"/>
          </w:tcPr>
          <w:p w14:paraId="19F98A01" w14:textId="77777777" w:rsidR="00300EF3" w:rsidRDefault="00E42C6C">
            <w:pPr>
              <w:keepNext/>
              <w:keepLines/>
              <w:spacing w:after="0" w:line="240" w:lineRule="auto"/>
            </w:pPr>
            <w:r>
              <w:rPr>
                <w:sz w:val="18"/>
              </w:rPr>
              <w:t>Tekuće pomoći temeljem prijenosa EU sredstava</w:t>
            </w:r>
          </w:p>
        </w:tc>
        <w:tc>
          <w:tcPr>
            <w:tcW w:w="700" w:type="dxa"/>
            <w:tcMar>
              <w:top w:w="0" w:type="dxa"/>
              <w:bottom w:w="0" w:type="dxa"/>
            </w:tcMar>
            <w:vAlign w:val="center"/>
          </w:tcPr>
          <w:p w14:paraId="1530104C" w14:textId="77777777" w:rsidR="00300EF3" w:rsidRDefault="00E42C6C">
            <w:pPr>
              <w:keepNext/>
              <w:keepLines/>
              <w:spacing w:after="0" w:line="240" w:lineRule="auto"/>
            </w:pPr>
            <w:r>
              <w:rPr>
                <w:sz w:val="18"/>
              </w:rPr>
              <w:t>6381</w:t>
            </w:r>
          </w:p>
        </w:tc>
        <w:tc>
          <w:tcPr>
            <w:tcW w:w="1860" w:type="dxa"/>
            <w:tcMar>
              <w:top w:w="0" w:type="dxa"/>
              <w:bottom w:w="0" w:type="dxa"/>
            </w:tcMar>
            <w:vAlign w:val="center"/>
          </w:tcPr>
          <w:p w14:paraId="6FEDF578" w14:textId="77777777" w:rsidR="00300EF3" w:rsidRDefault="00E42C6C">
            <w:pPr>
              <w:keepNext/>
              <w:keepLines/>
              <w:spacing w:after="0" w:line="240" w:lineRule="auto"/>
              <w:jc w:val="right"/>
            </w:pPr>
            <w:r>
              <w:rPr>
                <w:sz w:val="18"/>
              </w:rPr>
              <w:t>573.368,42</w:t>
            </w:r>
          </w:p>
        </w:tc>
        <w:tc>
          <w:tcPr>
            <w:tcW w:w="1860" w:type="dxa"/>
            <w:tcMar>
              <w:top w:w="0" w:type="dxa"/>
              <w:bottom w:w="0" w:type="dxa"/>
            </w:tcMar>
            <w:vAlign w:val="center"/>
          </w:tcPr>
          <w:p w14:paraId="16EEEFD6" w14:textId="77777777" w:rsidR="00300EF3" w:rsidRDefault="00E42C6C">
            <w:pPr>
              <w:keepNext/>
              <w:keepLines/>
              <w:spacing w:after="0" w:line="240" w:lineRule="auto"/>
              <w:jc w:val="right"/>
            </w:pPr>
            <w:r>
              <w:rPr>
                <w:sz w:val="18"/>
              </w:rPr>
              <w:t>622.882,10</w:t>
            </w:r>
          </w:p>
        </w:tc>
        <w:tc>
          <w:tcPr>
            <w:tcW w:w="700" w:type="dxa"/>
            <w:tcMar>
              <w:top w:w="0" w:type="dxa"/>
              <w:bottom w:w="0" w:type="dxa"/>
            </w:tcMar>
            <w:vAlign w:val="center"/>
          </w:tcPr>
          <w:p w14:paraId="6773A64D" w14:textId="77777777" w:rsidR="00300EF3" w:rsidRDefault="00E42C6C">
            <w:pPr>
              <w:keepNext/>
              <w:keepLines/>
              <w:spacing w:after="0" w:line="240" w:lineRule="auto"/>
              <w:jc w:val="right"/>
            </w:pPr>
            <w:r>
              <w:rPr>
                <w:sz w:val="18"/>
              </w:rPr>
              <w:t>108,6</w:t>
            </w:r>
          </w:p>
        </w:tc>
      </w:tr>
    </w:tbl>
    <w:p w14:paraId="0C762C4A" w14:textId="77777777" w:rsidR="00300EF3" w:rsidRDefault="00300EF3">
      <w:pPr>
        <w:spacing w:after="0"/>
      </w:pPr>
    </w:p>
    <w:p w14:paraId="2C8DDAD1" w14:textId="77777777" w:rsidR="00300EF3" w:rsidRDefault="00E42C6C">
      <w:pPr>
        <w:jc w:val="both"/>
      </w:pPr>
      <w:r>
        <w:t>Tekuće pomoći temeljem prijenosa EU sredstava odnose se na doznaku 85 % sredstava iz projekta Specijalističkog usavršavanja osam doktora iz hitne medicine koji se financiraju iz Europskog socijalnog fonda u 2024.g., te doznaku 100 % sredstava za projekte specijalističkog usavršavanja doktora iz hitne medicine i medicinskih sestara/tehničara u djelatnosti hitne medicine koji se financiraju putem Nacionalnog programa oporavka i otpornosti.  U 2025.g. je došlo do povećanja ove pozicije u odnosu na 2024.g. za 8</w:t>
      </w:r>
      <w:r>
        <w:t>,6 %, te je ostvaren prihod u iznosu od  622.882,10 €. Zavod je tijekom 2025.g. zaprimio refundaciju sredstava utrošenih za troškove specijalističkog usavršavanja dvadeset i dvije medicinske sestre/tehničara od studenog 2024.g. do rujna 2025.g., dok je u 2024.g. zaprimljena refundacija sredstava za troškove specijalističkog usavršavanja za trinaest medicinskih sestara/tehničara od kolovoza 2023.g. do rujna 2024.g.  U 2025.g. su također refundirana preostala sredstva utrošena za specijalizaciju trinaest medi</w:t>
      </w:r>
      <w:r>
        <w:t>cinskih sestara/tehničara do kraja 2024.g., te troškovi specijalističkog usavršavanja dva doktora medicine od studenog 2024.g. do srpnja 2025.g. Prihodi po osnovi refundacije troškova specijalističkog usavršavanja doktora medicine od kolovoza do prosinca 2025.g., te specijalističkog usavršavanja medicinskih sestara i tehničara od listopada do prosinca 2025.g. se očekuju tek u 2026.g., sukladno ugovorenoj dinamici podnošenja i odobravanja Zahtjeva za nadoknadom sredstava.</w:t>
      </w:r>
    </w:p>
    <w:p w14:paraId="591045C9" w14:textId="77777777" w:rsidR="00300EF3" w:rsidRDefault="00300EF3"/>
    <w:p w14:paraId="60522342" w14:textId="77777777" w:rsidR="00300EF3" w:rsidRDefault="00E42C6C">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2177DD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1F82C1"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E7EF8B"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DD81A3"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C31165"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7F3EF6"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9F3318" w14:textId="77777777" w:rsidR="00300EF3" w:rsidRDefault="00E42C6C">
            <w:pPr>
              <w:keepNext/>
              <w:keepLines/>
              <w:spacing w:after="0" w:line="240" w:lineRule="auto"/>
              <w:jc w:val="center"/>
            </w:pPr>
            <w:r>
              <w:rPr>
                <w:b/>
                <w:sz w:val="18"/>
              </w:rPr>
              <w:t>Indeks (%)</w:t>
            </w:r>
          </w:p>
        </w:tc>
      </w:tr>
      <w:tr w:rsidR="00300EF3" w14:paraId="0E44CC0E" w14:textId="77777777">
        <w:tblPrEx>
          <w:tblCellMar>
            <w:top w:w="0" w:type="dxa"/>
            <w:bottom w:w="0" w:type="dxa"/>
          </w:tblCellMar>
        </w:tblPrEx>
        <w:trPr>
          <w:cantSplit/>
          <w:trHeight w:val="560"/>
        </w:trPr>
        <w:tc>
          <w:tcPr>
            <w:tcW w:w="700" w:type="dxa"/>
            <w:tcMar>
              <w:top w:w="0" w:type="dxa"/>
              <w:bottom w:w="0" w:type="dxa"/>
            </w:tcMar>
            <w:vAlign w:val="center"/>
          </w:tcPr>
          <w:p w14:paraId="0E74E540" w14:textId="77777777" w:rsidR="00300EF3" w:rsidRDefault="00E42C6C">
            <w:pPr>
              <w:keepNext/>
              <w:keepLines/>
              <w:spacing w:after="0" w:line="240" w:lineRule="auto"/>
            </w:pPr>
            <w:r>
              <w:rPr>
                <w:sz w:val="18"/>
              </w:rPr>
              <w:t>6413</w:t>
            </w:r>
          </w:p>
        </w:tc>
        <w:tc>
          <w:tcPr>
            <w:tcW w:w="3180" w:type="dxa"/>
            <w:tcMar>
              <w:top w:w="0" w:type="dxa"/>
              <w:bottom w:w="0" w:type="dxa"/>
            </w:tcMar>
            <w:vAlign w:val="center"/>
          </w:tcPr>
          <w:p w14:paraId="358B8A43" w14:textId="77777777" w:rsidR="00300EF3" w:rsidRDefault="00E42C6C">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45440727" w14:textId="77777777" w:rsidR="00300EF3" w:rsidRDefault="00E42C6C">
            <w:pPr>
              <w:keepNext/>
              <w:keepLines/>
              <w:spacing w:after="0" w:line="240" w:lineRule="auto"/>
            </w:pPr>
            <w:r>
              <w:rPr>
                <w:sz w:val="18"/>
              </w:rPr>
              <w:t>6413</w:t>
            </w:r>
          </w:p>
        </w:tc>
        <w:tc>
          <w:tcPr>
            <w:tcW w:w="1860" w:type="dxa"/>
            <w:tcMar>
              <w:top w:w="0" w:type="dxa"/>
              <w:bottom w:w="0" w:type="dxa"/>
            </w:tcMar>
            <w:vAlign w:val="center"/>
          </w:tcPr>
          <w:p w14:paraId="5DD342B3" w14:textId="77777777" w:rsidR="00300EF3" w:rsidRDefault="00E42C6C">
            <w:pPr>
              <w:keepNext/>
              <w:keepLines/>
              <w:spacing w:after="0" w:line="240" w:lineRule="auto"/>
              <w:jc w:val="right"/>
            </w:pPr>
            <w:r>
              <w:rPr>
                <w:sz w:val="18"/>
              </w:rPr>
              <w:t>245,62</w:t>
            </w:r>
          </w:p>
        </w:tc>
        <w:tc>
          <w:tcPr>
            <w:tcW w:w="1860" w:type="dxa"/>
            <w:tcMar>
              <w:top w:w="0" w:type="dxa"/>
              <w:bottom w:w="0" w:type="dxa"/>
            </w:tcMar>
            <w:vAlign w:val="center"/>
          </w:tcPr>
          <w:p w14:paraId="0CB2BD93" w14:textId="77777777" w:rsidR="00300EF3" w:rsidRDefault="00E42C6C">
            <w:pPr>
              <w:keepNext/>
              <w:keepLines/>
              <w:spacing w:after="0" w:line="240" w:lineRule="auto"/>
              <w:jc w:val="right"/>
            </w:pPr>
            <w:r>
              <w:rPr>
                <w:sz w:val="18"/>
              </w:rPr>
              <w:t>466,58</w:t>
            </w:r>
          </w:p>
        </w:tc>
        <w:tc>
          <w:tcPr>
            <w:tcW w:w="700" w:type="dxa"/>
            <w:tcMar>
              <w:top w:w="0" w:type="dxa"/>
              <w:bottom w:w="0" w:type="dxa"/>
            </w:tcMar>
            <w:vAlign w:val="center"/>
          </w:tcPr>
          <w:p w14:paraId="401F5D23" w14:textId="77777777" w:rsidR="00300EF3" w:rsidRDefault="00E42C6C">
            <w:pPr>
              <w:keepNext/>
              <w:keepLines/>
              <w:spacing w:after="0" w:line="240" w:lineRule="auto"/>
              <w:jc w:val="right"/>
            </w:pPr>
            <w:r>
              <w:rPr>
                <w:sz w:val="18"/>
              </w:rPr>
              <w:t>190,0</w:t>
            </w:r>
          </w:p>
        </w:tc>
      </w:tr>
    </w:tbl>
    <w:p w14:paraId="0054DB61" w14:textId="77777777" w:rsidR="00300EF3" w:rsidRDefault="00300EF3">
      <w:pPr>
        <w:spacing w:after="0"/>
      </w:pPr>
    </w:p>
    <w:p w14:paraId="5270C4BF" w14:textId="77777777" w:rsidR="00300EF3" w:rsidRDefault="00E42C6C">
      <w:pPr>
        <w:jc w:val="both"/>
      </w:pPr>
      <w:r>
        <w:t>Prihod od kamata na oročena sredstva i depozite po viđenju je ostvaren u iznosu od 466,58 €, odnosno 90,0 % više u odnosu na prethodnu godinu jer su i veća novčana sredstava na računu Zavoda u 2025.g.</w:t>
      </w:r>
    </w:p>
    <w:p w14:paraId="4B38A92E" w14:textId="77777777" w:rsidR="00300EF3" w:rsidRDefault="00300EF3"/>
    <w:p w14:paraId="57BF311C" w14:textId="77777777" w:rsidR="00300EF3" w:rsidRDefault="00E42C6C">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762BDE0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CBF27C"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226DCB"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DACA0F"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865599"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8EB89C"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4CECF8" w14:textId="77777777" w:rsidR="00300EF3" w:rsidRDefault="00E42C6C">
            <w:pPr>
              <w:keepNext/>
              <w:keepLines/>
              <w:spacing w:after="0" w:line="240" w:lineRule="auto"/>
              <w:jc w:val="center"/>
            </w:pPr>
            <w:r>
              <w:rPr>
                <w:b/>
                <w:sz w:val="18"/>
              </w:rPr>
              <w:t>Indeks (%)</w:t>
            </w:r>
          </w:p>
        </w:tc>
      </w:tr>
      <w:tr w:rsidR="00300EF3" w14:paraId="2F7D983F" w14:textId="77777777">
        <w:tblPrEx>
          <w:tblCellMar>
            <w:top w:w="0" w:type="dxa"/>
            <w:bottom w:w="0" w:type="dxa"/>
          </w:tblCellMar>
        </w:tblPrEx>
        <w:trPr>
          <w:cantSplit/>
          <w:trHeight w:val="560"/>
        </w:trPr>
        <w:tc>
          <w:tcPr>
            <w:tcW w:w="700" w:type="dxa"/>
            <w:tcMar>
              <w:top w:w="0" w:type="dxa"/>
              <w:bottom w:w="0" w:type="dxa"/>
            </w:tcMar>
            <w:vAlign w:val="center"/>
          </w:tcPr>
          <w:p w14:paraId="0BF29183" w14:textId="77777777" w:rsidR="00300EF3" w:rsidRDefault="00E42C6C">
            <w:pPr>
              <w:keepNext/>
              <w:keepLines/>
              <w:spacing w:after="0" w:line="240" w:lineRule="auto"/>
            </w:pPr>
            <w:r>
              <w:rPr>
                <w:sz w:val="18"/>
              </w:rPr>
              <w:t>6526</w:t>
            </w:r>
          </w:p>
        </w:tc>
        <w:tc>
          <w:tcPr>
            <w:tcW w:w="3180" w:type="dxa"/>
            <w:tcMar>
              <w:top w:w="0" w:type="dxa"/>
              <w:bottom w:w="0" w:type="dxa"/>
            </w:tcMar>
            <w:vAlign w:val="center"/>
          </w:tcPr>
          <w:p w14:paraId="73C4FA92" w14:textId="77777777" w:rsidR="00300EF3" w:rsidRDefault="00E42C6C">
            <w:pPr>
              <w:keepNext/>
              <w:keepLines/>
              <w:spacing w:after="0" w:line="240" w:lineRule="auto"/>
            </w:pPr>
            <w:r>
              <w:rPr>
                <w:sz w:val="18"/>
              </w:rPr>
              <w:t>Ostali nespomenuti prihodi</w:t>
            </w:r>
          </w:p>
        </w:tc>
        <w:tc>
          <w:tcPr>
            <w:tcW w:w="700" w:type="dxa"/>
            <w:tcMar>
              <w:top w:w="0" w:type="dxa"/>
              <w:bottom w:w="0" w:type="dxa"/>
            </w:tcMar>
            <w:vAlign w:val="center"/>
          </w:tcPr>
          <w:p w14:paraId="66CDA4C7" w14:textId="77777777" w:rsidR="00300EF3" w:rsidRDefault="00E42C6C">
            <w:pPr>
              <w:keepNext/>
              <w:keepLines/>
              <w:spacing w:after="0" w:line="240" w:lineRule="auto"/>
            </w:pPr>
            <w:r>
              <w:rPr>
                <w:sz w:val="18"/>
              </w:rPr>
              <w:t>6526</w:t>
            </w:r>
          </w:p>
        </w:tc>
        <w:tc>
          <w:tcPr>
            <w:tcW w:w="1860" w:type="dxa"/>
            <w:tcMar>
              <w:top w:w="0" w:type="dxa"/>
              <w:bottom w:w="0" w:type="dxa"/>
            </w:tcMar>
            <w:vAlign w:val="center"/>
          </w:tcPr>
          <w:p w14:paraId="7A375C4D" w14:textId="77777777" w:rsidR="00300EF3" w:rsidRDefault="00E42C6C">
            <w:pPr>
              <w:keepNext/>
              <w:keepLines/>
              <w:spacing w:after="0" w:line="240" w:lineRule="auto"/>
              <w:jc w:val="right"/>
            </w:pPr>
            <w:r>
              <w:rPr>
                <w:sz w:val="18"/>
              </w:rPr>
              <w:t>27.097,54</w:t>
            </w:r>
          </w:p>
        </w:tc>
        <w:tc>
          <w:tcPr>
            <w:tcW w:w="1860" w:type="dxa"/>
            <w:tcMar>
              <w:top w:w="0" w:type="dxa"/>
              <w:bottom w:w="0" w:type="dxa"/>
            </w:tcMar>
            <w:vAlign w:val="center"/>
          </w:tcPr>
          <w:p w14:paraId="38DCF966" w14:textId="77777777" w:rsidR="00300EF3" w:rsidRDefault="00E42C6C">
            <w:pPr>
              <w:keepNext/>
              <w:keepLines/>
              <w:spacing w:after="0" w:line="240" w:lineRule="auto"/>
              <w:jc w:val="right"/>
            </w:pPr>
            <w:r>
              <w:rPr>
                <w:sz w:val="18"/>
              </w:rPr>
              <w:t>60.813,80</w:t>
            </w:r>
          </w:p>
        </w:tc>
        <w:tc>
          <w:tcPr>
            <w:tcW w:w="700" w:type="dxa"/>
            <w:tcMar>
              <w:top w:w="0" w:type="dxa"/>
              <w:bottom w:w="0" w:type="dxa"/>
            </w:tcMar>
            <w:vAlign w:val="center"/>
          </w:tcPr>
          <w:p w14:paraId="1058889D" w14:textId="77777777" w:rsidR="00300EF3" w:rsidRDefault="00E42C6C">
            <w:pPr>
              <w:keepNext/>
              <w:keepLines/>
              <w:spacing w:after="0" w:line="240" w:lineRule="auto"/>
              <w:jc w:val="right"/>
            </w:pPr>
            <w:r>
              <w:rPr>
                <w:sz w:val="18"/>
              </w:rPr>
              <w:t>224,4</w:t>
            </w:r>
          </w:p>
        </w:tc>
      </w:tr>
    </w:tbl>
    <w:p w14:paraId="00467EFC" w14:textId="77777777" w:rsidR="00300EF3" w:rsidRDefault="00300EF3">
      <w:pPr>
        <w:spacing w:after="0"/>
      </w:pPr>
    </w:p>
    <w:p w14:paraId="2B8231B6" w14:textId="77777777" w:rsidR="00300EF3" w:rsidRDefault="00E42C6C">
      <w:pPr>
        <w:jc w:val="both"/>
      </w:pPr>
      <w:r>
        <w:t>Ostali nespomenuti prihodi odnose se na refundacije šteta na vozilima i u 2025.g. iznose 60.813,80 €. Ova pozicija je značajno veća jer je  ostvareno više naknada od osiguravajuće kuće za štete na vozilima.</w:t>
      </w:r>
    </w:p>
    <w:p w14:paraId="3CB9D462" w14:textId="77777777" w:rsidR="00300EF3" w:rsidRDefault="00300EF3"/>
    <w:p w14:paraId="40157D7B" w14:textId="77777777" w:rsidR="00300EF3" w:rsidRDefault="00E42C6C">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1FCFC6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7BB546"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E5ECE4"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BD8B9F"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A20D5C"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E7378C"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4AC762" w14:textId="77777777" w:rsidR="00300EF3" w:rsidRDefault="00E42C6C">
            <w:pPr>
              <w:keepNext/>
              <w:keepLines/>
              <w:spacing w:after="0" w:line="240" w:lineRule="auto"/>
              <w:jc w:val="center"/>
            </w:pPr>
            <w:r>
              <w:rPr>
                <w:b/>
                <w:sz w:val="18"/>
              </w:rPr>
              <w:t>Indeks (%)</w:t>
            </w:r>
          </w:p>
        </w:tc>
      </w:tr>
      <w:tr w:rsidR="00300EF3" w14:paraId="16E5B777" w14:textId="77777777">
        <w:tblPrEx>
          <w:tblCellMar>
            <w:top w:w="0" w:type="dxa"/>
            <w:bottom w:w="0" w:type="dxa"/>
          </w:tblCellMar>
        </w:tblPrEx>
        <w:trPr>
          <w:cantSplit/>
          <w:trHeight w:val="560"/>
        </w:trPr>
        <w:tc>
          <w:tcPr>
            <w:tcW w:w="700" w:type="dxa"/>
            <w:tcMar>
              <w:top w:w="0" w:type="dxa"/>
              <w:bottom w:w="0" w:type="dxa"/>
            </w:tcMar>
            <w:vAlign w:val="center"/>
          </w:tcPr>
          <w:p w14:paraId="00EDDD8F" w14:textId="77777777" w:rsidR="00300EF3" w:rsidRDefault="00E42C6C">
            <w:pPr>
              <w:keepNext/>
              <w:keepLines/>
              <w:spacing w:after="0" w:line="240" w:lineRule="auto"/>
            </w:pPr>
            <w:r>
              <w:rPr>
                <w:sz w:val="18"/>
              </w:rPr>
              <w:t>6615</w:t>
            </w:r>
          </w:p>
        </w:tc>
        <w:tc>
          <w:tcPr>
            <w:tcW w:w="3180" w:type="dxa"/>
            <w:tcMar>
              <w:top w:w="0" w:type="dxa"/>
              <w:bottom w:w="0" w:type="dxa"/>
            </w:tcMar>
            <w:vAlign w:val="center"/>
          </w:tcPr>
          <w:p w14:paraId="40595B97" w14:textId="77777777" w:rsidR="00300EF3" w:rsidRDefault="00E42C6C">
            <w:pPr>
              <w:keepNext/>
              <w:keepLines/>
              <w:spacing w:after="0" w:line="240" w:lineRule="auto"/>
            </w:pPr>
            <w:r>
              <w:rPr>
                <w:sz w:val="18"/>
              </w:rPr>
              <w:t>Prihodi od pruženih usluga</w:t>
            </w:r>
          </w:p>
        </w:tc>
        <w:tc>
          <w:tcPr>
            <w:tcW w:w="700" w:type="dxa"/>
            <w:tcMar>
              <w:top w:w="0" w:type="dxa"/>
              <w:bottom w:w="0" w:type="dxa"/>
            </w:tcMar>
            <w:vAlign w:val="center"/>
          </w:tcPr>
          <w:p w14:paraId="3F1B82E1" w14:textId="77777777" w:rsidR="00300EF3" w:rsidRDefault="00E42C6C">
            <w:pPr>
              <w:keepNext/>
              <w:keepLines/>
              <w:spacing w:after="0" w:line="240" w:lineRule="auto"/>
            </w:pPr>
            <w:r>
              <w:rPr>
                <w:sz w:val="18"/>
              </w:rPr>
              <w:t>6615</w:t>
            </w:r>
          </w:p>
        </w:tc>
        <w:tc>
          <w:tcPr>
            <w:tcW w:w="1860" w:type="dxa"/>
            <w:tcMar>
              <w:top w:w="0" w:type="dxa"/>
              <w:bottom w:w="0" w:type="dxa"/>
            </w:tcMar>
            <w:vAlign w:val="center"/>
          </w:tcPr>
          <w:p w14:paraId="1D78BA92" w14:textId="77777777" w:rsidR="00300EF3" w:rsidRDefault="00E42C6C">
            <w:pPr>
              <w:keepNext/>
              <w:keepLines/>
              <w:spacing w:after="0" w:line="240" w:lineRule="auto"/>
              <w:jc w:val="right"/>
            </w:pPr>
            <w:r>
              <w:rPr>
                <w:sz w:val="18"/>
              </w:rPr>
              <w:t>411.814,85</w:t>
            </w:r>
          </w:p>
        </w:tc>
        <w:tc>
          <w:tcPr>
            <w:tcW w:w="1860" w:type="dxa"/>
            <w:tcMar>
              <w:top w:w="0" w:type="dxa"/>
              <w:bottom w:w="0" w:type="dxa"/>
            </w:tcMar>
            <w:vAlign w:val="center"/>
          </w:tcPr>
          <w:p w14:paraId="3B9A3BCC" w14:textId="77777777" w:rsidR="00300EF3" w:rsidRDefault="00E42C6C">
            <w:pPr>
              <w:keepNext/>
              <w:keepLines/>
              <w:spacing w:after="0" w:line="240" w:lineRule="auto"/>
              <w:jc w:val="right"/>
            </w:pPr>
            <w:r>
              <w:rPr>
                <w:sz w:val="18"/>
              </w:rPr>
              <w:t>580.323,89</w:t>
            </w:r>
          </w:p>
        </w:tc>
        <w:tc>
          <w:tcPr>
            <w:tcW w:w="700" w:type="dxa"/>
            <w:tcMar>
              <w:top w:w="0" w:type="dxa"/>
              <w:bottom w:w="0" w:type="dxa"/>
            </w:tcMar>
            <w:vAlign w:val="center"/>
          </w:tcPr>
          <w:p w14:paraId="26F4C2E6" w14:textId="77777777" w:rsidR="00300EF3" w:rsidRDefault="00E42C6C">
            <w:pPr>
              <w:keepNext/>
              <w:keepLines/>
              <w:spacing w:after="0" w:line="240" w:lineRule="auto"/>
              <w:jc w:val="right"/>
            </w:pPr>
            <w:r>
              <w:rPr>
                <w:sz w:val="18"/>
              </w:rPr>
              <w:t>140,9</w:t>
            </w:r>
          </w:p>
        </w:tc>
      </w:tr>
    </w:tbl>
    <w:p w14:paraId="05BC15C5" w14:textId="77777777" w:rsidR="00300EF3" w:rsidRDefault="00300EF3">
      <w:pPr>
        <w:spacing w:after="0"/>
      </w:pPr>
    </w:p>
    <w:p w14:paraId="1B9BC943" w14:textId="77777777" w:rsidR="00300EF3" w:rsidRDefault="00E42C6C">
      <w:pPr>
        <w:jc w:val="both"/>
      </w:pPr>
      <w:r>
        <w:t>Prihodi od pruženih usluga odnose se na prihode od pruženih zdravstvenih usluga osobama bez osiguranja (uglavnom strani državljani koji dolaze iz država koje nisu članice Europske unije), prihoda od usluga dežurstva timova hitne medicine na raznim događajima (sportskim, komercijalnim i dr.) i usluga pruženih MUP-u, prihoda od refundacije plaća specijalizanata za odrađena dežurstva u KBC-u Split, prihoda od grada Omiša za pružene usluge pripravnosti doktora medicine i prihoda od provedenih edukacija iz hitne</w:t>
      </w:r>
      <w:r>
        <w:t xml:space="preserve"> medicinske pomoći. U 2025.g. prihodi po ovoj osnovi iznose 580.323,89 €. Povećanje ove pozicije za 40,9 % je rezultat značajnog povećanja prihoda od pruženih usluga osobama bez osiguranja, posebice tijekom turističke sezone, te usluga dežurstava timova hitne medicine, a rasli su i prihodi od usluga pruženih MUP-u i od usluga dežurstava specijalizanata u KBC Split.</w:t>
      </w:r>
    </w:p>
    <w:p w14:paraId="4284C6A3" w14:textId="77777777" w:rsidR="00300EF3" w:rsidRDefault="00300EF3"/>
    <w:p w14:paraId="7AC53700" w14:textId="77777777" w:rsidR="00300EF3" w:rsidRDefault="00E42C6C">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32B540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DBE864"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6F4C06"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C45A39"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C60097"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11906D"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DE6AD5" w14:textId="77777777" w:rsidR="00300EF3" w:rsidRDefault="00E42C6C">
            <w:pPr>
              <w:keepNext/>
              <w:keepLines/>
              <w:spacing w:after="0" w:line="240" w:lineRule="auto"/>
              <w:jc w:val="center"/>
            </w:pPr>
            <w:r>
              <w:rPr>
                <w:b/>
                <w:sz w:val="18"/>
              </w:rPr>
              <w:t>Indeks (%)</w:t>
            </w:r>
          </w:p>
        </w:tc>
      </w:tr>
      <w:tr w:rsidR="00300EF3" w14:paraId="6D4566D3" w14:textId="77777777">
        <w:tblPrEx>
          <w:tblCellMar>
            <w:top w:w="0" w:type="dxa"/>
            <w:bottom w:w="0" w:type="dxa"/>
          </w:tblCellMar>
        </w:tblPrEx>
        <w:trPr>
          <w:cantSplit/>
          <w:trHeight w:val="560"/>
        </w:trPr>
        <w:tc>
          <w:tcPr>
            <w:tcW w:w="700" w:type="dxa"/>
            <w:tcMar>
              <w:top w:w="0" w:type="dxa"/>
              <w:bottom w:w="0" w:type="dxa"/>
            </w:tcMar>
            <w:vAlign w:val="center"/>
          </w:tcPr>
          <w:p w14:paraId="6E888BE0" w14:textId="77777777" w:rsidR="00300EF3" w:rsidRDefault="00E42C6C">
            <w:pPr>
              <w:keepNext/>
              <w:keepLines/>
              <w:spacing w:after="0" w:line="240" w:lineRule="auto"/>
            </w:pPr>
            <w:r>
              <w:rPr>
                <w:sz w:val="18"/>
              </w:rPr>
              <w:t>663</w:t>
            </w:r>
          </w:p>
        </w:tc>
        <w:tc>
          <w:tcPr>
            <w:tcW w:w="3180" w:type="dxa"/>
            <w:tcMar>
              <w:top w:w="0" w:type="dxa"/>
              <w:bottom w:w="0" w:type="dxa"/>
            </w:tcMar>
            <w:vAlign w:val="center"/>
          </w:tcPr>
          <w:p w14:paraId="076B1108" w14:textId="77777777" w:rsidR="00300EF3" w:rsidRDefault="00E42C6C">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31790EBD" w14:textId="77777777" w:rsidR="00300EF3" w:rsidRDefault="00E42C6C">
            <w:pPr>
              <w:keepNext/>
              <w:keepLines/>
              <w:spacing w:after="0" w:line="240" w:lineRule="auto"/>
            </w:pPr>
            <w:r>
              <w:rPr>
                <w:sz w:val="18"/>
              </w:rPr>
              <w:t>663</w:t>
            </w:r>
          </w:p>
        </w:tc>
        <w:tc>
          <w:tcPr>
            <w:tcW w:w="1860" w:type="dxa"/>
            <w:tcMar>
              <w:top w:w="0" w:type="dxa"/>
              <w:bottom w:w="0" w:type="dxa"/>
            </w:tcMar>
            <w:vAlign w:val="center"/>
          </w:tcPr>
          <w:p w14:paraId="0C37304C" w14:textId="77777777" w:rsidR="00300EF3" w:rsidRDefault="00E42C6C">
            <w:pPr>
              <w:keepNext/>
              <w:keepLines/>
              <w:spacing w:after="0" w:line="240" w:lineRule="auto"/>
              <w:jc w:val="right"/>
            </w:pPr>
            <w:r>
              <w:rPr>
                <w:sz w:val="18"/>
              </w:rPr>
              <w:t>3.362,76</w:t>
            </w:r>
          </w:p>
        </w:tc>
        <w:tc>
          <w:tcPr>
            <w:tcW w:w="1860" w:type="dxa"/>
            <w:tcMar>
              <w:top w:w="0" w:type="dxa"/>
              <w:bottom w:w="0" w:type="dxa"/>
            </w:tcMar>
            <w:vAlign w:val="center"/>
          </w:tcPr>
          <w:p w14:paraId="3C447999" w14:textId="77777777" w:rsidR="00300EF3" w:rsidRDefault="00E42C6C">
            <w:pPr>
              <w:keepNext/>
              <w:keepLines/>
              <w:spacing w:after="0" w:line="240" w:lineRule="auto"/>
              <w:jc w:val="right"/>
            </w:pPr>
            <w:r>
              <w:rPr>
                <w:sz w:val="18"/>
              </w:rPr>
              <w:t>2.499,86</w:t>
            </w:r>
          </w:p>
        </w:tc>
        <w:tc>
          <w:tcPr>
            <w:tcW w:w="700" w:type="dxa"/>
            <w:tcMar>
              <w:top w:w="0" w:type="dxa"/>
              <w:bottom w:w="0" w:type="dxa"/>
            </w:tcMar>
            <w:vAlign w:val="center"/>
          </w:tcPr>
          <w:p w14:paraId="29F9BFF2" w14:textId="77777777" w:rsidR="00300EF3" w:rsidRDefault="00E42C6C">
            <w:pPr>
              <w:keepNext/>
              <w:keepLines/>
              <w:spacing w:after="0" w:line="240" w:lineRule="auto"/>
              <w:jc w:val="right"/>
            </w:pPr>
            <w:r>
              <w:rPr>
                <w:sz w:val="18"/>
              </w:rPr>
              <w:t>74,3</w:t>
            </w:r>
          </w:p>
        </w:tc>
      </w:tr>
    </w:tbl>
    <w:p w14:paraId="1A86AA89" w14:textId="77777777" w:rsidR="00300EF3" w:rsidRDefault="00300EF3">
      <w:pPr>
        <w:spacing w:after="0"/>
      </w:pPr>
    </w:p>
    <w:p w14:paraId="3B49033D" w14:textId="77777777" w:rsidR="00300EF3" w:rsidRDefault="00E42C6C">
      <w:pPr>
        <w:jc w:val="both"/>
      </w:pPr>
      <w:r>
        <w:t xml:space="preserve">U 2025.g. su zaprimljene tekuće donacije u ukupnom iznosu od 2.499,86 € (1.500,00 € od tvrtke </w:t>
      </w:r>
      <w:proofErr w:type="spellStart"/>
      <w:r>
        <w:t>Inel</w:t>
      </w:r>
      <w:proofErr w:type="spellEnd"/>
      <w:r>
        <w:t xml:space="preserve"> d.o.o. za edukaciju zaposlenika, te od fizičke osobe u iznosu od 999,86 € za nabavu sitnog inventara, odnosno sitne medicinske opreme)  što je za 23,4 % manje nego u 2024.g. kada su realizirane tekuće donacije za edukaciju zaposlenika te za obilježavanje obljetnice hitne medicine na Braču u ukupnom iznosu od 3.262,76 €.</w:t>
      </w:r>
    </w:p>
    <w:p w14:paraId="7B0E2136" w14:textId="77777777" w:rsidR="00300EF3" w:rsidRDefault="00E42C6C">
      <w:pPr>
        <w:jc w:val="both"/>
      </w:pPr>
      <w:r>
        <w:t>U 2025.g. nije bilo kapitalnih donacija.</w:t>
      </w:r>
    </w:p>
    <w:p w14:paraId="681CFD97" w14:textId="77777777" w:rsidR="00300EF3" w:rsidRDefault="00300EF3"/>
    <w:p w14:paraId="3B397621" w14:textId="77777777" w:rsidR="00300EF3" w:rsidRDefault="00E42C6C">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6AEECC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759586"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F5FEBD"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3A4FF6"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1A45CA"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F443C7"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D921B3" w14:textId="77777777" w:rsidR="00300EF3" w:rsidRDefault="00E42C6C">
            <w:pPr>
              <w:keepNext/>
              <w:keepLines/>
              <w:spacing w:after="0" w:line="240" w:lineRule="auto"/>
              <w:jc w:val="center"/>
            </w:pPr>
            <w:r>
              <w:rPr>
                <w:b/>
                <w:sz w:val="18"/>
              </w:rPr>
              <w:t>Indeks (%)</w:t>
            </w:r>
          </w:p>
        </w:tc>
      </w:tr>
      <w:tr w:rsidR="00300EF3" w14:paraId="169A6D8A" w14:textId="77777777">
        <w:tblPrEx>
          <w:tblCellMar>
            <w:top w:w="0" w:type="dxa"/>
            <w:bottom w:w="0" w:type="dxa"/>
          </w:tblCellMar>
        </w:tblPrEx>
        <w:trPr>
          <w:cantSplit/>
          <w:trHeight w:val="560"/>
        </w:trPr>
        <w:tc>
          <w:tcPr>
            <w:tcW w:w="700" w:type="dxa"/>
            <w:tcMar>
              <w:top w:w="0" w:type="dxa"/>
              <w:bottom w:w="0" w:type="dxa"/>
            </w:tcMar>
            <w:vAlign w:val="center"/>
          </w:tcPr>
          <w:p w14:paraId="661EE01C" w14:textId="77777777" w:rsidR="00300EF3" w:rsidRDefault="00E42C6C">
            <w:pPr>
              <w:keepNext/>
              <w:keepLines/>
              <w:spacing w:after="0" w:line="240" w:lineRule="auto"/>
            </w:pPr>
            <w:r>
              <w:rPr>
                <w:sz w:val="18"/>
              </w:rPr>
              <w:t>6711</w:t>
            </w:r>
          </w:p>
        </w:tc>
        <w:tc>
          <w:tcPr>
            <w:tcW w:w="3180" w:type="dxa"/>
            <w:tcMar>
              <w:top w:w="0" w:type="dxa"/>
              <w:bottom w:w="0" w:type="dxa"/>
            </w:tcMar>
            <w:vAlign w:val="center"/>
          </w:tcPr>
          <w:p w14:paraId="49886DCF" w14:textId="77777777" w:rsidR="00300EF3" w:rsidRDefault="00E42C6C">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11E97DA9" w14:textId="77777777" w:rsidR="00300EF3" w:rsidRDefault="00E42C6C">
            <w:pPr>
              <w:keepNext/>
              <w:keepLines/>
              <w:spacing w:after="0" w:line="240" w:lineRule="auto"/>
            </w:pPr>
            <w:r>
              <w:rPr>
                <w:sz w:val="18"/>
              </w:rPr>
              <w:t>6711</w:t>
            </w:r>
          </w:p>
        </w:tc>
        <w:tc>
          <w:tcPr>
            <w:tcW w:w="1860" w:type="dxa"/>
            <w:tcMar>
              <w:top w:w="0" w:type="dxa"/>
              <w:bottom w:w="0" w:type="dxa"/>
            </w:tcMar>
            <w:vAlign w:val="center"/>
          </w:tcPr>
          <w:p w14:paraId="45867F9B" w14:textId="77777777" w:rsidR="00300EF3" w:rsidRDefault="00E42C6C">
            <w:pPr>
              <w:keepNext/>
              <w:keepLines/>
              <w:spacing w:after="0" w:line="240" w:lineRule="auto"/>
              <w:jc w:val="right"/>
            </w:pPr>
            <w:r>
              <w:rPr>
                <w:sz w:val="18"/>
              </w:rPr>
              <w:t>1.640.809,81</w:t>
            </w:r>
          </w:p>
        </w:tc>
        <w:tc>
          <w:tcPr>
            <w:tcW w:w="1860" w:type="dxa"/>
            <w:tcMar>
              <w:top w:w="0" w:type="dxa"/>
              <w:bottom w:w="0" w:type="dxa"/>
            </w:tcMar>
            <w:vAlign w:val="center"/>
          </w:tcPr>
          <w:p w14:paraId="53DA3486" w14:textId="77777777" w:rsidR="00300EF3" w:rsidRDefault="00E42C6C">
            <w:pPr>
              <w:keepNext/>
              <w:keepLines/>
              <w:spacing w:after="0" w:line="240" w:lineRule="auto"/>
              <w:jc w:val="right"/>
            </w:pPr>
            <w:r>
              <w:rPr>
                <w:sz w:val="18"/>
              </w:rPr>
              <w:t>1.753.435,00</w:t>
            </w:r>
          </w:p>
        </w:tc>
        <w:tc>
          <w:tcPr>
            <w:tcW w:w="700" w:type="dxa"/>
            <w:tcMar>
              <w:top w:w="0" w:type="dxa"/>
              <w:bottom w:w="0" w:type="dxa"/>
            </w:tcMar>
            <w:vAlign w:val="center"/>
          </w:tcPr>
          <w:p w14:paraId="751DE300" w14:textId="77777777" w:rsidR="00300EF3" w:rsidRDefault="00E42C6C">
            <w:pPr>
              <w:keepNext/>
              <w:keepLines/>
              <w:spacing w:after="0" w:line="240" w:lineRule="auto"/>
              <w:jc w:val="right"/>
            </w:pPr>
            <w:r>
              <w:rPr>
                <w:sz w:val="18"/>
              </w:rPr>
              <w:t>106,9</w:t>
            </w:r>
          </w:p>
        </w:tc>
      </w:tr>
    </w:tbl>
    <w:p w14:paraId="3D690865" w14:textId="77777777" w:rsidR="00300EF3" w:rsidRDefault="00300EF3">
      <w:pPr>
        <w:spacing w:after="0"/>
      </w:pPr>
    </w:p>
    <w:p w14:paraId="0173EC8D" w14:textId="77777777" w:rsidR="00300EF3" w:rsidRDefault="00E42C6C">
      <w:pPr>
        <w:jc w:val="both"/>
      </w:pPr>
      <w:r>
        <w:t xml:space="preserve">Prihodi iz nadležnog proračuna za financiranje rashoda poslovanja odnose se na županijska sredstava za pokriće rashoda plaća dodatnih timova u </w:t>
      </w:r>
      <w:proofErr w:type="spellStart"/>
      <w:r>
        <w:t>nadstandardu</w:t>
      </w:r>
      <w:proofErr w:type="spellEnd"/>
      <w:r>
        <w:t xml:space="preserve"> i za pokriće rashoda održavanja objekata, opreme i vozila te nabavu auto guma. U 2025.g. ostvareni su prihodi na ovoj poziciji u iznosu od 1.753.435,00 €, što je za 6,9 % više u odnosu na prethodnu godinu zbog povećanih potreba za uslugama tekućeg i investicijskog održavanja vozila i medicinske opreme.</w:t>
      </w:r>
    </w:p>
    <w:p w14:paraId="5746993D" w14:textId="77777777" w:rsidR="00300EF3" w:rsidRDefault="00300EF3"/>
    <w:p w14:paraId="4A71A5F5" w14:textId="77777777" w:rsidR="00300EF3" w:rsidRDefault="00E42C6C">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3F82F9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F8836C"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D66A6D"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BDA72C"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C31913"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A5E2CB"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FA4701" w14:textId="77777777" w:rsidR="00300EF3" w:rsidRDefault="00E42C6C">
            <w:pPr>
              <w:keepNext/>
              <w:keepLines/>
              <w:spacing w:after="0" w:line="240" w:lineRule="auto"/>
              <w:jc w:val="center"/>
            </w:pPr>
            <w:r>
              <w:rPr>
                <w:b/>
                <w:sz w:val="18"/>
              </w:rPr>
              <w:t>Indeks (%)</w:t>
            </w:r>
          </w:p>
        </w:tc>
      </w:tr>
      <w:tr w:rsidR="00300EF3" w14:paraId="4F708461" w14:textId="77777777">
        <w:tblPrEx>
          <w:tblCellMar>
            <w:top w:w="0" w:type="dxa"/>
            <w:bottom w:w="0" w:type="dxa"/>
          </w:tblCellMar>
        </w:tblPrEx>
        <w:trPr>
          <w:cantSplit/>
          <w:trHeight w:val="560"/>
        </w:trPr>
        <w:tc>
          <w:tcPr>
            <w:tcW w:w="700" w:type="dxa"/>
            <w:tcMar>
              <w:top w:w="0" w:type="dxa"/>
              <w:bottom w:w="0" w:type="dxa"/>
            </w:tcMar>
            <w:vAlign w:val="center"/>
          </w:tcPr>
          <w:p w14:paraId="1EADABA9" w14:textId="77777777" w:rsidR="00300EF3" w:rsidRDefault="00E42C6C">
            <w:pPr>
              <w:keepNext/>
              <w:keepLines/>
              <w:spacing w:after="0" w:line="240" w:lineRule="auto"/>
            </w:pPr>
            <w:r>
              <w:rPr>
                <w:sz w:val="18"/>
              </w:rPr>
              <w:t>6712</w:t>
            </w:r>
          </w:p>
        </w:tc>
        <w:tc>
          <w:tcPr>
            <w:tcW w:w="3180" w:type="dxa"/>
            <w:tcMar>
              <w:top w:w="0" w:type="dxa"/>
              <w:bottom w:w="0" w:type="dxa"/>
            </w:tcMar>
            <w:vAlign w:val="center"/>
          </w:tcPr>
          <w:p w14:paraId="079F46C4" w14:textId="77777777" w:rsidR="00300EF3" w:rsidRDefault="00E42C6C">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046A94EA" w14:textId="77777777" w:rsidR="00300EF3" w:rsidRDefault="00E42C6C">
            <w:pPr>
              <w:keepNext/>
              <w:keepLines/>
              <w:spacing w:after="0" w:line="240" w:lineRule="auto"/>
            </w:pPr>
            <w:r>
              <w:rPr>
                <w:sz w:val="18"/>
              </w:rPr>
              <w:t>6712</w:t>
            </w:r>
          </w:p>
        </w:tc>
        <w:tc>
          <w:tcPr>
            <w:tcW w:w="1860" w:type="dxa"/>
            <w:tcMar>
              <w:top w:w="0" w:type="dxa"/>
              <w:bottom w:w="0" w:type="dxa"/>
            </w:tcMar>
            <w:vAlign w:val="center"/>
          </w:tcPr>
          <w:p w14:paraId="07DF81F8" w14:textId="77777777" w:rsidR="00300EF3" w:rsidRDefault="00E42C6C">
            <w:pPr>
              <w:keepNext/>
              <w:keepLines/>
              <w:spacing w:after="0" w:line="240" w:lineRule="auto"/>
              <w:jc w:val="right"/>
            </w:pPr>
            <w:r>
              <w:rPr>
                <w:sz w:val="18"/>
              </w:rPr>
              <w:t>2.219.234,13</w:t>
            </w:r>
          </w:p>
        </w:tc>
        <w:tc>
          <w:tcPr>
            <w:tcW w:w="1860" w:type="dxa"/>
            <w:tcMar>
              <w:top w:w="0" w:type="dxa"/>
              <w:bottom w:w="0" w:type="dxa"/>
            </w:tcMar>
            <w:vAlign w:val="center"/>
          </w:tcPr>
          <w:p w14:paraId="2489B9F9" w14:textId="77777777" w:rsidR="00300EF3" w:rsidRDefault="00E42C6C">
            <w:pPr>
              <w:keepNext/>
              <w:keepLines/>
              <w:spacing w:after="0" w:line="240" w:lineRule="auto"/>
              <w:jc w:val="right"/>
            </w:pPr>
            <w:r>
              <w:rPr>
                <w:sz w:val="18"/>
              </w:rPr>
              <w:t>1.992.928,00</w:t>
            </w:r>
          </w:p>
        </w:tc>
        <w:tc>
          <w:tcPr>
            <w:tcW w:w="700" w:type="dxa"/>
            <w:tcMar>
              <w:top w:w="0" w:type="dxa"/>
              <w:bottom w:w="0" w:type="dxa"/>
            </w:tcMar>
            <w:vAlign w:val="center"/>
          </w:tcPr>
          <w:p w14:paraId="52B045BF" w14:textId="77777777" w:rsidR="00300EF3" w:rsidRDefault="00E42C6C">
            <w:pPr>
              <w:keepNext/>
              <w:keepLines/>
              <w:spacing w:after="0" w:line="240" w:lineRule="auto"/>
              <w:jc w:val="right"/>
            </w:pPr>
            <w:r>
              <w:rPr>
                <w:sz w:val="18"/>
              </w:rPr>
              <w:t>89,8</w:t>
            </w:r>
          </w:p>
        </w:tc>
      </w:tr>
    </w:tbl>
    <w:p w14:paraId="2A936ED5" w14:textId="77777777" w:rsidR="00300EF3" w:rsidRDefault="00300EF3">
      <w:pPr>
        <w:spacing w:after="0"/>
      </w:pPr>
    </w:p>
    <w:p w14:paraId="750FA2F0" w14:textId="77777777" w:rsidR="00300EF3" w:rsidRDefault="00E42C6C">
      <w:pPr>
        <w:jc w:val="both"/>
      </w:pPr>
      <w:r>
        <w:t>Prihodi iz nadležnog proračuna za financiranje rashoda za nabavu nefinancijske imovine su u 2025.g. ostvareni u iznosu od 1.992.928,00 % što je smanjenje od 10,2 % jer su sredstva iz prihoda za financiranje rashoda za nabavu nefinancijske imovine prenamijenjena na financiranje rashoda poslovanja zbog većih potreba za održavanjem vozila i medicinske opreme.</w:t>
      </w:r>
    </w:p>
    <w:p w14:paraId="73EACEEA" w14:textId="77777777" w:rsidR="00300EF3" w:rsidRDefault="00300EF3"/>
    <w:p w14:paraId="1210DF6C" w14:textId="77777777" w:rsidR="00300EF3" w:rsidRDefault="00E42C6C">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4A634F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57E1D1"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7ECF84"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EBC476"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DC9D9D"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975318"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5BAF5D" w14:textId="77777777" w:rsidR="00300EF3" w:rsidRDefault="00E42C6C">
            <w:pPr>
              <w:keepNext/>
              <w:keepLines/>
              <w:spacing w:after="0" w:line="240" w:lineRule="auto"/>
              <w:jc w:val="center"/>
            </w:pPr>
            <w:r>
              <w:rPr>
                <w:b/>
                <w:sz w:val="18"/>
              </w:rPr>
              <w:t>Indeks (%)</w:t>
            </w:r>
          </w:p>
        </w:tc>
      </w:tr>
      <w:tr w:rsidR="00300EF3" w14:paraId="34ECFA44" w14:textId="77777777">
        <w:tblPrEx>
          <w:tblCellMar>
            <w:top w:w="0" w:type="dxa"/>
            <w:bottom w:w="0" w:type="dxa"/>
          </w:tblCellMar>
        </w:tblPrEx>
        <w:trPr>
          <w:cantSplit/>
          <w:trHeight w:val="560"/>
        </w:trPr>
        <w:tc>
          <w:tcPr>
            <w:tcW w:w="700" w:type="dxa"/>
            <w:tcMar>
              <w:top w:w="0" w:type="dxa"/>
              <w:bottom w:w="0" w:type="dxa"/>
            </w:tcMar>
            <w:vAlign w:val="center"/>
          </w:tcPr>
          <w:p w14:paraId="5EDFCF13" w14:textId="77777777" w:rsidR="00300EF3" w:rsidRDefault="00E42C6C">
            <w:pPr>
              <w:keepNext/>
              <w:keepLines/>
              <w:spacing w:after="0" w:line="240" w:lineRule="auto"/>
            </w:pPr>
            <w:r>
              <w:rPr>
                <w:sz w:val="18"/>
              </w:rPr>
              <w:t>673</w:t>
            </w:r>
          </w:p>
        </w:tc>
        <w:tc>
          <w:tcPr>
            <w:tcW w:w="3180" w:type="dxa"/>
            <w:tcMar>
              <w:top w:w="0" w:type="dxa"/>
              <w:bottom w:w="0" w:type="dxa"/>
            </w:tcMar>
            <w:vAlign w:val="center"/>
          </w:tcPr>
          <w:p w14:paraId="4B17F22E" w14:textId="77777777" w:rsidR="00300EF3" w:rsidRDefault="00E42C6C">
            <w:pPr>
              <w:keepNext/>
              <w:keepLines/>
              <w:spacing w:after="0" w:line="240" w:lineRule="auto"/>
            </w:pPr>
            <w:r>
              <w:rPr>
                <w:sz w:val="18"/>
              </w:rPr>
              <w:t>Prihodi od HZZO-a na temelju ugovornih obveza</w:t>
            </w:r>
          </w:p>
        </w:tc>
        <w:tc>
          <w:tcPr>
            <w:tcW w:w="700" w:type="dxa"/>
            <w:tcMar>
              <w:top w:w="0" w:type="dxa"/>
              <w:bottom w:w="0" w:type="dxa"/>
            </w:tcMar>
            <w:vAlign w:val="center"/>
          </w:tcPr>
          <w:p w14:paraId="70B2A639" w14:textId="77777777" w:rsidR="00300EF3" w:rsidRDefault="00E42C6C">
            <w:pPr>
              <w:keepNext/>
              <w:keepLines/>
              <w:spacing w:after="0" w:line="240" w:lineRule="auto"/>
            </w:pPr>
            <w:r>
              <w:rPr>
                <w:sz w:val="18"/>
              </w:rPr>
              <w:t>673</w:t>
            </w:r>
          </w:p>
        </w:tc>
        <w:tc>
          <w:tcPr>
            <w:tcW w:w="1860" w:type="dxa"/>
            <w:tcMar>
              <w:top w:w="0" w:type="dxa"/>
              <w:bottom w:w="0" w:type="dxa"/>
            </w:tcMar>
            <w:vAlign w:val="center"/>
          </w:tcPr>
          <w:p w14:paraId="109FDEE8" w14:textId="77777777" w:rsidR="00300EF3" w:rsidRDefault="00E42C6C">
            <w:pPr>
              <w:keepNext/>
              <w:keepLines/>
              <w:spacing w:after="0" w:line="240" w:lineRule="auto"/>
              <w:jc w:val="right"/>
            </w:pPr>
            <w:r>
              <w:rPr>
                <w:sz w:val="18"/>
              </w:rPr>
              <w:t>23.220.605,21</w:t>
            </w:r>
          </w:p>
        </w:tc>
        <w:tc>
          <w:tcPr>
            <w:tcW w:w="1860" w:type="dxa"/>
            <w:tcMar>
              <w:top w:w="0" w:type="dxa"/>
              <w:bottom w:w="0" w:type="dxa"/>
            </w:tcMar>
            <w:vAlign w:val="center"/>
          </w:tcPr>
          <w:p w14:paraId="60372A0B" w14:textId="77777777" w:rsidR="00300EF3" w:rsidRDefault="00E42C6C">
            <w:pPr>
              <w:keepNext/>
              <w:keepLines/>
              <w:spacing w:after="0" w:line="240" w:lineRule="auto"/>
              <w:jc w:val="right"/>
            </w:pPr>
            <w:r>
              <w:rPr>
                <w:sz w:val="18"/>
              </w:rPr>
              <w:t>28.022.921,49</w:t>
            </w:r>
          </w:p>
        </w:tc>
        <w:tc>
          <w:tcPr>
            <w:tcW w:w="700" w:type="dxa"/>
            <w:tcMar>
              <w:top w:w="0" w:type="dxa"/>
              <w:bottom w:w="0" w:type="dxa"/>
            </w:tcMar>
            <w:vAlign w:val="center"/>
          </w:tcPr>
          <w:p w14:paraId="3F54D7F0" w14:textId="77777777" w:rsidR="00300EF3" w:rsidRDefault="00E42C6C">
            <w:pPr>
              <w:keepNext/>
              <w:keepLines/>
              <w:spacing w:after="0" w:line="240" w:lineRule="auto"/>
              <w:jc w:val="right"/>
            </w:pPr>
            <w:r>
              <w:rPr>
                <w:sz w:val="18"/>
              </w:rPr>
              <w:t>120,7</w:t>
            </w:r>
          </w:p>
        </w:tc>
      </w:tr>
    </w:tbl>
    <w:p w14:paraId="0249C1A6" w14:textId="77777777" w:rsidR="00300EF3" w:rsidRDefault="00300EF3">
      <w:pPr>
        <w:spacing w:after="0"/>
      </w:pPr>
    </w:p>
    <w:p w14:paraId="6296A098" w14:textId="77777777" w:rsidR="00300EF3" w:rsidRDefault="00E42C6C">
      <w:pPr>
        <w:jc w:val="both"/>
      </w:pPr>
      <w:r>
        <w:t xml:space="preserve">Prihod od HZZO-a u 2025.g. je ostvaren u iznosu od 28.022.921,49 €, te je veći za 20,7 % u odnosu na prethodnu godinu zbog više realiziranog prihoda od glavarine što je posljedica porasta vrijednosti ugovorenih timova hitne medicine i sanitetskog prijevoza (zbog povećanja osnovice i koeficijenata za obračun plaće i drugih materijalnih prava zaposlenika), te povećanja broja zaposlenika uslijed širenja Mreže hitne medicine i sanitetskog prijevoza (NN 134/2023) i priznavanja posebnog standarda za financiranje </w:t>
      </w:r>
      <w:r>
        <w:t>punog tima na punktovima pripravnosti.  Također, realizirano je i više prihoda od pruženih usluga osobama koji zdravstvenu skrb ostvaruju temeljem europske kartice - strani državljani.</w:t>
      </w:r>
    </w:p>
    <w:p w14:paraId="479BD644" w14:textId="77777777" w:rsidR="00300EF3" w:rsidRDefault="00300EF3"/>
    <w:p w14:paraId="4077C086" w14:textId="77777777" w:rsidR="00300EF3" w:rsidRDefault="00E42C6C">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43993F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21BC01"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365EB6"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DC389F"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74F0B3"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42BAB3"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013D4B" w14:textId="77777777" w:rsidR="00300EF3" w:rsidRDefault="00E42C6C">
            <w:pPr>
              <w:keepNext/>
              <w:keepLines/>
              <w:spacing w:after="0" w:line="240" w:lineRule="auto"/>
              <w:jc w:val="center"/>
            </w:pPr>
            <w:r>
              <w:rPr>
                <w:b/>
                <w:sz w:val="18"/>
              </w:rPr>
              <w:t>Indeks (%)</w:t>
            </w:r>
          </w:p>
        </w:tc>
      </w:tr>
      <w:tr w:rsidR="00300EF3" w14:paraId="266DC44A" w14:textId="77777777">
        <w:tblPrEx>
          <w:tblCellMar>
            <w:top w:w="0" w:type="dxa"/>
            <w:bottom w:w="0" w:type="dxa"/>
          </w:tblCellMar>
        </w:tblPrEx>
        <w:trPr>
          <w:cantSplit/>
          <w:trHeight w:val="560"/>
        </w:trPr>
        <w:tc>
          <w:tcPr>
            <w:tcW w:w="700" w:type="dxa"/>
            <w:tcMar>
              <w:top w:w="0" w:type="dxa"/>
              <w:bottom w:w="0" w:type="dxa"/>
            </w:tcMar>
            <w:vAlign w:val="center"/>
          </w:tcPr>
          <w:p w14:paraId="69141F79" w14:textId="77777777" w:rsidR="00300EF3" w:rsidRDefault="00E42C6C">
            <w:pPr>
              <w:keepNext/>
              <w:keepLines/>
              <w:spacing w:after="0" w:line="240" w:lineRule="auto"/>
            </w:pPr>
            <w:r>
              <w:rPr>
                <w:sz w:val="18"/>
              </w:rPr>
              <w:t>683</w:t>
            </w:r>
          </w:p>
        </w:tc>
        <w:tc>
          <w:tcPr>
            <w:tcW w:w="3180" w:type="dxa"/>
            <w:tcMar>
              <w:top w:w="0" w:type="dxa"/>
              <w:bottom w:w="0" w:type="dxa"/>
            </w:tcMar>
            <w:vAlign w:val="center"/>
          </w:tcPr>
          <w:p w14:paraId="440851AE" w14:textId="77777777" w:rsidR="00300EF3" w:rsidRDefault="00E42C6C">
            <w:pPr>
              <w:keepNext/>
              <w:keepLines/>
              <w:spacing w:after="0" w:line="240" w:lineRule="auto"/>
            </w:pPr>
            <w:r>
              <w:rPr>
                <w:sz w:val="18"/>
              </w:rPr>
              <w:t>Ostali prihodi</w:t>
            </w:r>
          </w:p>
        </w:tc>
        <w:tc>
          <w:tcPr>
            <w:tcW w:w="700" w:type="dxa"/>
            <w:tcMar>
              <w:top w:w="0" w:type="dxa"/>
              <w:bottom w:w="0" w:type="dxa"/>
            </w:tcMar>
            <w:vAlign w:val="center"/>
          </w:tcPr>
          <w:p w14:paraId="0E324932" w14:textId="77777777" w:rsidR="00300EF3" w:rsidRDefault="00E42C6C">
            <w:pPr>
              <w:keepNext/>
              <w:keepLines/>
              <w:spacing w:after="0" w:line="240" w:lineRule="auto"/>
            </w:pPr>
            <w:r>
              <w:rPr>
                <w:sz w:val="18"/>
              </w:rPr>
              <w:t>683</w:t>
            </w:r>
          </w:p>
        </w:tc>
        <w:tc>
          <w:tcPr>
            <w:tcW w:w="1860" w:type="dxa"/>
            <w:tcMar>
              <w:top w:w="0" w:type="dxa"/>
              <w:bottom w:w="0" w:type="dxa"/>
            </w:tcMar>
            <w:vAlign w:val="center"/>
          </w:tcPr>
          <w:p w14:paraId="3A2EB37E" w14:textId="77777777" w:rsidR="00300EF3" w:rsidRDefault="00E42C6C">
            <w:pPr>
              <w:keepNext/>
              <w:keepLines/>
              <w:spacing w:after="0" w:line="240" w:lineRule="auto"/>
              <w:jc w:val="right"/>
            </w:pPr>
            <w:r>
              <w:rPr>
                <w:sz w:val="18"/>
              </w:rPr>
              <w:t>1.231,79</w:t>
            </w:r>
          </w:p>
        </w:tc>
        <w:tc>
          <w:tcPr>
            <w:tcW w:w="1860" w:type="dxa"/>
            <w:tcMar>
              <w:top w:w="0" w:type="dxa"/>
              <w:bottom w:w="0" w:type="dxa"/>
            </w:tcMar>
            <w:vAlign w:val="center"/>
          </w:tcPr>
          <w:p w14:paraId="2CA8C8AF" w14:textId="77777777" w:rsidR="00300EF3" w:rsidRDefault="00E42C6C">
            <w:pPr>
              <w:keepNext/>
              <w:keepLines/>
              <w:spacing w:after="0" w:line="240" w:lineRule="auto"/>
              <w:jc w:val="right"/>
            </w:pPr>
            <w:r>
              <w:rPr>
                <w:sz w:val="18"/>
              </w:rPr>
              <w:t>4.303,77</w:t>
            </w:r>
          </w:p>
        </w:tc>
        <w:tc>
          <w:tcPr>
            <w:tcW w:w="700" w:type="dxa"/>
            <w:tcMar>
              <w:top w:w="0" w:type="dxa"/>
              <w:bottom w:w="0" w:type="dxa"/>
            </w:tcMar>
            <w:vAlign w:val="center"/>
          </w:tcPr>
          <w:p w14:paraId="6227A83B" w14:textId="77777777" w:rsidR="00300EF3" w:rsidRDefault="00E42C6C">
            <w:pPr>
              <w:keepNext/>
              <w:keepLines/>
              <w:spacing w:after="0" w:line="240" w:lineRule="auto"/>
              <w:jc w:val="right"/>
            </w:pPr>
            <w:r>
              <w:rPr>
                <w:sz w:val="18"/>
              </w:rPr>
              <w:t>349,4</w:t>
            </w:r>
          </w:p>
        </w:tc>
      </w:tr>
    </w:tbl>
    <w:p w14:paraId="5C101117" w14:textId="77777777" w:rsidR="00300EF3" w:rsidRDefault="00300EF3">
      <w:pPr>
        <w:spacing w:after="0"/>
      </w:pPr>
    </w:p>
    <w:p w14:paraId="6F6C80C2" w14:textId="77777777" w:rsidR="00300EF3" w:rsidRDefault="00E42C6C">
      <w:pPr>
        <w:jc w:val="both"/>
      </w:pPr>
      <w:r>
        <w:t>Ostali prihodi odnose se na prihode od uplata od neosiguranih osoba kojima je pružena zdravstvena usluga (poštarina), zatim od povrata sredstava za poreze i doprinose. U 2025.g. je ostvareno više prihoda zbog povrata sredstava za poreze i doprinose (naknadno priznate ozljede na radu i profesionalne bolesti).</w:t>
      </w:r>
    </w:p>
    <w:p w14:paraId="309497C6" w14:textId="77777777" w:rsidR="00300EF3" w:rsidRDefault="00300EF3"/>
    <w:p w14:paraId="4F8F662A" w14:textId="77777777" w:rsidR="00300EF3" w:rsidRDefault="00E42C6C">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2B788B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4F2DED"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A1C0AE"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69960C"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AE251A"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D208A5"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A2969B" w14:textId="77777777" w:rsidR="00300EF3" w:rsidRDefault="00E42C6C">
            <w:pPr>
              <w:keepNext/>
              <w:keepLines/>
              <w:spacing w:after="0" w:line="240" w:lineRule="auto"/>
              <w:jc w:val="center"/>
            </w:pPr>
            <w:r>
              <w:rPr>
                <w:b/>
                <w:sz w:val="18"/>
              </w:rPr>
              <w:t>Indeks (%)</w:t>
            </w:r>
          </w:p>
        </w:tc>
      </w:tr>
      <w:tr w:rsidR="00300EF3" w14:paraId="392C65C1" w14:textId="77777777">
        <w:tblPrEx>
          <w:tblCellMar>
            <w:top w:w="0" w:type="dxa"/>
            <w:bottom w:w="0" w:type="dxa"/>
          </w:tblCellMar>
        </w:tblPrEx>
        <w:trPr>
          <w:cantSplit/>
          <w:trHeight w:val="560"/>
        </w:trPr>
        <w:tc>
          <w:tcPr>
            <w:tcW w:w="700" w:type="dxa"/>
            <w:tcMar>
              <w:top w:w="0" w:type="dxa"/>
              <w:bottom w:w="0" w:type="dxa"/>
            </w:tcMar>
            <w:vAlign w:val="center"/>
          </w:tcPr>
          <w:p w14:paraId="4A7D59A2" w14:textId="77777777" w:rsidR="00300EF3" w:rsidRDefault="00E42C6C">
            <w:pPr>
              <w:keepNext/>
              <w:keepLines/>
              <w:spacing w:after="0" w:line="240" w:lineRule="auto"/>
            </w:pPr>
            <w:r>
              <w:rPr>
                <w:sz w:val="18"/>
              </w:rPr>
              <w:t>311</w:t>
            </w:r>
          </w:p>
        </w:tc>
        <w:tc>
          <w:tcPr>
            <w:tcW w:w="3180" w:type="dxa"/>
            <w:tcMar>
              <w:top w:w="0" w:type="dxa"/>
              <w:bottom w:w="0" w:type="dxa"/>
            </w:tcMar>
            <w:vAlign w:val="center"/>
          </w:tcPr>
          <w:p w14:paraId="45E478FD" w14:textId="77777777" w:rsidR="00300EF3" w:rsidRDefault="00E42C6C">
            <w:pPr>
              <w:keepNext/>
              <w:keepLines/>
              <w:spacing w:after="0" w:line="240" w:lineRule="auto"/>
            </w:pPr>
            <w:r>
              <w:rPr>
                <w:sz w:val="18"/>
              </w:rPr>
              <w:t>Plaće (bruto) (šifre 3111 do 3114)</w:t>
            </w:r>
          </w:p>
        </w:tc>
        <w:tc>
          <w:tcPr>
            <w:tcW w:w="700" w:type="dxa"/>
            <w:tcMar>
              <w:top w:w="0" w:type="dxa"/>
              <w:bottom w:w="0" w:type="dxa"/>
            </w:tcMar>
            <w:vAlign w:val="center"/>
          </w:tcPr>
          <w:p w14:paraId="69025348" w14:textId="77777777" w:rsidR="00300EF3" w:rsidRDefault="00E42C6C">
            <w:pPr>
              <w:keepNext/>
              <w:keepLines/>
              <w:spacing w:after="0" w:line="240" w:lineRule="auto"/>
            </w:pPr>
            <w:r>
              <w:rPr>
                <w:sz w:val="18"/>
              </w:rPr>
              <w:t>311</w:t>
            </w:r>
          </w:p>
        </w:tc>
        <w:tc>
          <w:tcPr>
            <w:tcW w:w="1860" w:type="dxa"/>
            <w:tcMar>
              <w:top w:w="0" w:type="dxa"/>
              <w:bottom w:w="0" w:type="dxa"/>
            </w:tcMar>
            <w:vAlign w:val="center"/>
          </w:tcPr>
          <w:p w14:paraId="1941D50A" w14:textId="77777777" w:rsidR="00300EF3" w:rsidRDefault="00E42C6C">
            <w:pPr>
              <w:keepNext/>
              <w:keepLines/>
              <w:spacing w:after="0" w:line="240" w:lineRule="auto"/>
              <w:jc w:val="right"/>
            </w:pPr>
            <w:r>
              <w:rPr>
                <w:sz w:val="18"/>
              </w:rPr>
              <w:t>19.388.337,61</w:t>
            </w:r>
          </w:p>
        </w:tc>
        <w:tc>
          <w:tcPr>
            <w:tcW w:w="1860" w:type="dxa"/>
            <w:tcMar>
              <w:top w:w="0" w:type="dxa"/>
              <w:bottom w:w="0" w:type="dxa"/>
            </w:tcMar>
            <w:vAlign w:val="center"/>
          </w:tcPr>
          <w:p w14:paraId="0D9698FB" w14:textId="77777777" w:rsidR="00300EF3" w:rsidRDefault="00E42C6C">
            <w:pPr>
              <w:keepNext/>
              <w:keepLines/>
              <w:spacing w:after="0" w:line="240" w:lineRule="auto"/>
              <w:jc w:val="right"/>
            </w:pPr>
            <w:r>
              <w:rPr>
                <w:sz w:val="18"/>
              </w:rPr>
              <w:t>21.820.001,90</w:t>
            </w:r>
          </w:p>
        </w:tc>
        <w:tc>
          <w:tcPr>
            <w:tcW w:w="700" w:type="dxa"/>
            <w:tcMar>
              <w:top w:w="0" w:type="dxa"/>
              <w:bottom w:w="0" w:type="dxa"/>
            </w:tcMar>
            <w:vAlign w:val="center"/>
          </w:tcPr>
          <w:p w14:paraId="65779F70" w14:textId="77777777" w:rsidR="00300EF3" w:rsidRDefault="00E42C6C">
            <w:pPr>
              <w:keepNext/>
              <w:keepLines/>
              <w:spacing w:after="0" w:line="240" w:lineRule="auto"/>
              <w:jc w:val="right"/>
            </w:pPr>
            <w:r>
              <w:rPr>
                <w:sz w:val="18"/>
              </w:rPr>
              <w:t>112,5</w:t>
            </w:r>
          </w:p>
        </w:tc>
      </w:tr>
    </w:tbl>
    <w:p w14:paraId="77485D53" w14:textId="77777777" w:rsidR="00300EF3" w:rsidRDefault="00300EF3">
      <w:pPr>
        <w:spacing w:after="0"/>
      </w:pPr>
    </w:p>
    <w:p w14:paraId="2E312C8B" w14:textId="77777777" w:rsidR="00300EF3" w:rsidRDefault="00E42C6C">
      <w:pPr>
        <w:jc w:val="both"/>
      </w:pPr>
      <w:r>
        <w:t>Rashodi za bruto plaću u 2025.g. iznose 21.820.001,90 € što je povećanje od 12,5 % u odnosu na prethodnu godinu. Razlog ovakvog porasta je u donošenju nove Uredbe o nazivima radnih mjesta, uvjetima za raspored i koeficijentima za obračun plaće u javnim službama (NN 22/24) koja je na snazi od 01. ožujka 2024.g., kao i povećanju osnovice za obračun plaće za 3 % od veljače 2025.g. i još za 3 % od rujna 2025.g. temeljem Odluke Vlade RH o visini osnovice za obračun plaće u javnim službama u 2025.g. (NN 155/2024)</w:t>
      </w:r>
      <w:r>
        <w:t xml:space="preserve">. Do povećanja plaće došlo je i zbog mišljenja Zajedničkog povjerenstva za tumačenje Temeljnog kolektivnog ugovora za zaposlenike u javnim službama br. 2/24 od 11. travnja 2024.g. jer se odredbe Temeljnog </w:t>
      </w:r>
      <w:r>
        <w:lastRenderedPageBreak/>
        <w:t>kolektivnog ugovora za državne službenike primjenjuju i na zaposlenike u javnim službama te se sukladno tome za rad u turnusu obračunava dodatak od 5 % na osnovnu plaću uvećanu za radni staž, zatim obračunava se povećan dodatak za rad noću s 40 na 50 %, obračunava se povećani iznos otpremnine s 2 na 2,5 os</w:t>
      </w:r>
      <w:r>
        <w:t xml:space="preserve">novice i osnovica za izračun jubilarne nagrade je povećana s 240,00 € na 300,00 €. Također, povećanje rashoda za zaposlene posljedica je većeg broja zaposlenika zbog širenja Mreže hitne medicine i sanitetskog prijevoza (NN 134/2023) te većeg broja sati prekovremenog rada uvjetovanog potrebom zamjene zaposlenika (bolovanja, očinski dopust i dr.) i nedostatkom medicinskog kadra na tržištu rada. Važno je napomenuti kako stupanjem na snagu gore spomenute Uredbe je ukinut obračun plaće za posebne uvjete rada, a </w:t>
      </w:r>
      <w:r>
        <w:t>donošenjem Odluke Vlade RH o stavljanju izvan snage odluke o posebnoj nagradi za obavljanje poslova pružanja skrbi pacijentima oboljelima od bolesti Covid-19 je ukinut obračun i isplata navedene nagrade.</w:t>
      </w:r>
    </w:p>
    <w:p w14:paraId="2F869FD9" w14:textId="77777777" w:rsidR="00300EF3" w:rsidRDefault="00300EF3"/>
    <w:p w14:paraId="5AAF0905" w14:textId="77777777" w:rsidR="00300EF3" w:rsidRDefault="00E42C6C">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424495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F9DFB5"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07E2E5"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983141"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A637B8"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B47505"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FA2AB1" w14:textId="77777777" w:rsidR="00300EF3" w:rsidRDefault="00E42C6C">
            <w:pPr>
              <w:keepNext/>
              <w:keepLines/>
              <w:spacing w:after="0" w:line="240" w:lineRule="auto"/>
              <w:jc w:val="center"/>
            </w:pPr>
            <w:r>
              <w:rPr>
                <w:b/>
                <w:sz w:val="18"/>
              </w:rPr>
              <w:t>Indeks (%)</w:t>
            </w:r>
          </w:p>
        </w:tc>
      </w:tr>
      <w:tr w:rsidR="00300EF3" w14:paraId="48F30DBD" w14:textId="77777777">
        <w:tblPrEx>
          <w:tblCellMar>
            <w:top w:w="0" w:type="dxa"/>
            <w:bottom w:w="0" w:type="dxa"/>
          </w:tblCellMar>
        </w:tblPrEx>
        <w:trPr>
          <w:cantSplit/>
          <w:trHeight w:val="560"/>
        </w:trPr>
        <w:tc>
          <w:tcPr>
            <w:tcW w:w="700" w:type="dxa"/>
            <w:tcMar>
              <w:top w:w="0" w:type="dxa"/>
              <w:bottom w:w="0" w:type="dxa"/>
            </w:tcMar>
            <w:vAlign w:val="center"/>
          </w:tcPr>
          <w:p w14:paraId="5C18E740" w14:textId="77777777" w:rsidR="00300EF3" w:rsidRDefault="00E42C6C">
            <w:pPr>
              <w:keepNext/>
              <w:keepLines/>
              <w:spacing w:after="0" w:line="240" w:lineRule="auto"/>
            </w:pPr>
            <w:r>
              <w:rPr>
                <w:sz w:val="18"/>
              </w:rPr>
              <w:t>312</w:t>
            </w:r>
          </w:p>
        </w:tc>
        <w:tc>
          <w:tcPr>
            <w:tcW w:w="3180" w:type="dxa"/>
            <w:tcMar>
              <w:top w:w="0" w:type="dxa"/>
              <w:bottom w:w="0" w:type="dxa"/>
            </w:tcMar>
            <w:vAlign w:val="center"/>
          </w:tcPr>
          <w:p w14:paraId="426C762A" w14:textId="77777777" w:rsidR="00300EF3" w:rsidRDefault="00E42C6C">
            <w:pPr>
              <w:keepNext/>
              <w:keepLines/>
              <w:spacing w:after="0" w:line="240" w:lineRule="auto"/>
            </w:pPr>
            <w:r>
              <w:rPr>
                <w:sz w:val="18"/>
              </w:rPr>
              <w:t>Ostali rashodi za zaposlene</w:t>
            </w:r>
          </w:p>
        </w:tc>
        <w:tc>
          <w:tcPr>
            <w:tcW w:w="700" w:type="dxa"/>
            <w:tcMar>
              <w:top w:w="0" w:type="dxa"/>
              <w:bottom w:w="0" w:type="dxa"/>
            </w:tcMar>
            <w:vAlign w:val="center"/>
          </w:tcPr>
          <w:p w14:paraId="55FE0305" w14:textId="77777777" w:rsidR="00300EF3" w:rsidRDefault="00E42C6C">
            <w:pPr>
              <w:keepNext/>
              <w:keepLines/>
              <w:spacing w:after="0" w:line="240" w:lineRule="auto"/>
            </w:pPr>
            <w:r>
              <w:rPr>
                <w:sz w:val="18"/>
              </w:rPr>
              <w:t>312</w:t>
            </w:r>
          </w:p>
        </w:tc>
        <w:tc>
          <w:tcPr>
            <w:tcW w:w="1860" w:type="dxa"/>
            <w:tcMar>
              <w:top w:w="0" w:type="dxa"/>
              <w:bottom w:w="0" w:type="dxa"/>
            </w:tcMar>
            <w:vAlign w:val="center"/>
          </w:tcPr>
          <w:p w14:paraId="0CC6C7E3" w14:textId="77777777" w:rsidR="00300EF3" w:rsidRDefault="00E42C6C">
            <w:pPr>
              <w:keepNext/>
              <w:keepLines/>
              <w:spacing w:after="0" w:line="240" w:lineRule="auto"/>
              <w:jc w:val="right"/>
            </w:pPr>
            <w:r>
              <w:rPr>
                <w:sz w:val="18"/>
              </w:rPr>
              <w:t>704.934,77</w:t>
            </w:r>
          </w:p>
        </w:tc>
        <w:tc>
          <w:tcPr>
            <w:tcW w:w="1860" w:type="dxa"/>
            <w:tcMar>
              <w:top w:w="0" w:type="dxa"/>
              <w:bottom w:w="0" w:type="dxa"/>
            </w:tcMar>
            <w:vAlign w:val="center"/>
          </w:tcPr>
          <w:p w14:paraId="40EF069D" w14:textId="77777777" w:rsidR="00300EF3" w:rsidRDefault="00E42C6C">
            <w:pPr>
              <w:keepNext/>
              <w:keepLines/>
              <w:spacing w:after="0" w:line="240" w:lineRule="auto"/>
              <w:jc w:val="right"/>
            </w:pPr>
            <w:r>
              <w:rPr>
                <w:sz w:val="18"/>
              </w:rPr>
              <w:t>753.257,20</w:t>
            </w:r>
          </w:p>
        </w:tc>
        <w:tc>
          <w:tcPr>
            <w:tcW w:w="700" w:type="dxa"/>
            <w:tcMar>
              <w:top w:w="0" w:type="dxa"/>
              <w:bottom w:w="0" w:type="dxa"/>
            </w:tcMar>
            <w:vAlign w:val="center"/>
          </w:tcPr>
          <w:p w14:paraId="2CDD82E3" w14:textId="77777777" w:rsidR="00300EF3" w:rsidRDefault="00E42C6C">
            <w:pPr>
              <w:keepNext/>
              <w:keepLines/>
              <w:spacing w:after="0" w:line="240" w:lineRule="auto"/>
              <w:jc w:val="right"/>
            </w:pPr>
            <w:r>
              <w:rPr>
                <w:sz w:val="18"/>
              </w:rPr>
              <w:t>106,9</w:t>
            </w:r>
          </w:p>
        </w:tc>
      </w:tr>
    </w:tbl>
    <w:p w14:paraId="2F62EC3E" w14:textId="77777777" w:rsidR="00300EF3" w:rsidRDefault="00300EF3">
      <w:pPr>
        <w:spacing w:after="0"/>
      </w:pPr>
    </w:p>
    <w:p w14:paraId="010DE589" w14:textId="77777777" w:rsidR="00300EF3" w:rsidRDefault="00E42C6C">
      <w:pPr>
        <w:jc w:val="both"/>
      </w:pPr>
      <w:r>
        <w:t xml:space="preserve">Ostali rashodi za zaposlene odnose se na jubilarne nagrade, darove djeci, otpremnine, pomoći zbog dužeg bolovanja ili zbog smrtnih slučajeva, regres, božićnicu i naknade za godišnji odmor. Ova pozicija iznosi 753.257,20 €, odnosno veća je za 6,9 % u odnosu na prethodnu godinu što je prvenstveno posljedica povećanja obveza isplate otpremnina i naknada za neiskorišteni godišnji odmor zaposlenicima koji su otišli u mirovinu odnosno prekinuli radni odnos, te povećanje obveze isplate božićnice i regresa za veći </w:t>
      </w:r>
      <w:r>
        <w:t>broj zaposlenika (zbog širenja Mreže).</w:t>
      </w:r>
    </w:p>
    <w:p w14:paraId="0D2B7889" w14:textId="77777777" w:rsidR="00300EF3" w:rsidRDefault="00300EF3"/>
    <w:p w14:paraId="57BBE959" w14:textId="77777777" w:rsidR="00300EF3" w:rsidRDefault="00E42C6C">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293D90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F3EEE8"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212E45"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F8EDCC"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C7980E"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212EF9"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13D0CA" w14:textId="77777777" w:rsidR="00300EF3" w:rsidRDefault="00E42C6C">
            <w:pPr>
              <w:keepNext/>
              <w:keepLines/>
              <w:spacing w:after="0" w:line="240" w:lineRule="auto"/>
              <w:jc w:val="center"/>
            </w:pPr>
            <w:r>
              <w:rPr>
                <w:b/>
                <w:sz w:val="18"/>
              </w:rPr>
              <w:t>Indeks (%)</w:t>
            </w:r>
          </w:p>
        </w:tc>
      </w:tr>
      <w:tr w:rsidR="00300EF3" w14:paraId="09192413" w14:textId="77777777">
        <w:tblPrEx>
          <w:tblCellMar>
            <w:top w:w="0" w:type="dxa"/>
            <w:bottom w:w="0" w:type="dxa"/>
          </w:tblCellMar>
        </w:tblPrEx>
        <w:trPr>
          <w:cantSplit/>
          <w:trHeight w:val="560"/>
        </w:trPr>
        <w:tc>
          <w:tcPr>
            <w:tcW w:w="700" w:type="dxa"/>
            <w:tcMar>
              <w:top w:w="0" w:type="dxa"/>
              <w:bottom w:w="0" w:type="dxa"/>
            </w:tcMar>
            <w:vAlign w:val="center"/>
          </w:tcPr>
          <w:p w14:paraId="39CC252E" w14:textId="77777777" w:rsidR="00300EF3" w:rsidRDefault="00E42C6C">
            <w:pPr>
              <w:keepNext/>
              <w:keepLines/>
              <w:spacing w:after="0" w:line="240" w:lineRule="auto"/>
            </w:pPr>
            <w:r>
              <w:rPr>
                <w:sz w:val="18"/>
              </w:rPr>
              <w:t>313</w:t>
            </w:r>
          </w:p>
        </w:tc>
        <w:tc>
          <w:tcPr>
            <w:tcW w:w="3180" w:type="dxa"/>
            <w:tcMar>
              <w:top w:w="0" w:type="dxa"/>
              <w:bottom w:w="0" w:type="dxa"/>
            </w:tcMar>
            <w:vAlign w:val="center"/>
          </w:tcPr>
          <w:p w14:paraId="67BB231C" w14:textId="77777777" w:rsidR="00300EF3" w:rsidRDefault="00E42C6C">
            <w:pPr>
              <w:keepNext/>
              <w:keepLines/>
              <w:spacing w:after="0" w:line="240" w:lineRule="auto"/>
            </w:pPr>
            <w:r>
              <w:rPr>
                <w:sz w:val="18"/>
              </w:rPr>
              <w:t>Doprinosi na plaće (šifre 3131 do 3133)</w:t>
            </w:r>
          </w:p>
        </w:tc>
        <w:tc>
          <w:tcPr>
            <w:tcW w:w="700" w:type="dxa"/>
            <w:tcMar>
              <w:top w:w="0" w:type="dxa"/>
              <w:bottom w:w="0" w:type="dxa"/>
            </w:tcMar>
            <w:vAlign w:val="center"/>
          </w:tcPr>
          <w:p w14:paraId="113EDB5E" w14:textId="77777777" w:rsidR="00300EF3" w:rsidRDefault="00E42C6C">
            <w:pPr>
              <w:keepNext/>
              <w:keepLines/>
              <w:spacing w:after="0" w:line="240" w:lineRule="auto"/>
            </w:pPr>
            <w:r>
              <w:rPr>
                <w:sz w:val="18"/>
              </w:rPr>
              <w:t>313</w:t>
            </w:r>
          </w:p>
        </w:tc>
        <w:tc>
          <w:tcPr>
            <w:tcW w:w="1860" w:type="dxa"/>
            <w:tcMar>
              <w:top w:w="0" w:type="dxa"/>
              <w:bottom w:w="0" w:type="dxa"/>
            </w:tcMar>
            <w:vAlign w:val="center"/>
          </w:tcPr>
          <w:p w14:paraId="337251BB" w14:textId="77777777" w:rsidR="00300EF3" w:rsidRDefault="00E42C6C">
            <w:pPr>
              <w:keepNext/>
              <w:keepLines/>
              <w:spacing w:after="0" w:line="240" w:lineRule="auto"/>
              <w:jc w:val="right"/>
            </w:pPr>
            <w:r>
              <w:rPr>
                <w:sz w:val="18"/>
              </w:rPr>
              <w:t>2.762.320,79</w:t>
            </w:r>
          </w:p>
        </w:tc>
        <w:tc>
          <w:tcPr>
            <w:tcW w:w="1860" w:type="dxa"/>
            <w:tcMar>
              <w:top w:w="0" w:type="dxa"/>
              <w:bottom w:w="0" w:type="dxa"/>
            </w:tcMar>
            <w:vAlign w:val="center"/>
          </w:tcPr>
          <w:p w14:paraId="43B64FB2" w14:textId="77777777" w:rsidR="00300EF3" w:rsidRDefault="00E42C6C">
            <w:pPr>
              <w:keepNext/>
              <w:keepLines/>
              <w:spacing w:after="0" w:line="240" w:lineRule="auto"/>
              <w:jc w:val="right"/>
            </w:pPr>
            <w:r>
              <w:rPr>
                <w:sz w:val="18"/>
              </w:rPr>
              <w:t>3.195.613,91</w:t>
            </w:r>
          </w:p>
        </w:tc>
        <w:tc>
          <w:tcPr>
            <w:tcW w:w="700" w:type="dxa"/>
            <w:tcMar>
              <w:top w:w="0" w:type="dxa"/>
              <w:bottom w:w="0" w:type="dxa"/>
            </w:tcMar>
            <w:vAlign w:val="center"/>
          </w:tcPr>
          <w:p w14:paraId="441C348F" w14:textId="77777777" w:rsidR="00300EF3" w:rsidRDefault="00E42C6C">
            <w:pPr>
              <w:keepNext/>
              <w:keepLines/>
              <w:spacing w:after="0" w:line="240" w:lineRule="auto"/>
              <w:jc w:val="right"/>
            </w:pPr>
            <w:r>
              <w:rPr>
                <w:sz w:val="18"/>
              </w:rPr>
              <w:t>115,7</w:t>
            </w:r>
          </w:p>
        </w:tc>
      </w:tr>
    </w:tbl>
    <w:p w14:paraId="2489A361" w14:textId="77777777" w:rsidR="00300EF3" w:rsidRDefault="00300EF3">
      <w:pPr>
        <w:spacing w:after="0"/>
      </w:pPr>
    </w:p>
    <w:p w14:paraId="4F4D75BD" w14:textId="77777777" w:rsidR="00300EF3" w:rsidRDefault="00E42C6C">
      <w:pPr>
        <w:jc w:val="both"/>
      </w:pPr>
      <w:r>
        <w:t>Sukladno porastu rashoda za bruto plaću zaposlenika porasli su i doprinosi na plaću koji se obračunavaju na bruto plaću.</w:t>
      </w:r>
    </w:p>
    <w:p w14:paraId="69AAA1A9" w14:textId="77777777" w:rsidR="00300EF3" w:rsidRDefault="00300EF3"/>
    <w:p w14:paraId="5208AD9B" w14:textId="77777777" w:rsidR="00300EF3" w:rsidRDefault="00E42C6C">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2CF00DD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F8EBA6"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751F10"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3587E5"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AB4949"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276157"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CE2F0F" w14:textId="77777777" w:rsidR="00300EF3" w:rsidRDefault="00E42C6C">
            <w:pPr>
              <w:keepNext/>
              <w:keepLines/>
              <w:spacing w:after="0" w:line="240" w:lineRule="auto"/>
              <w:jc w:val="center"/>
            </w:pPr>
            <w:r>
              <w:rPr>
                <w:b/>
                <w:sz w:val="18"/>
              </w:rPr>
              <w:t>Indeks (%)</w:t>
            </w:r>
          </w:p>
        </w:tc>
      </w:tr>
      <w:tr w:rsidR="00300EF3" w14:paraId="1B7266B3" w14:textId="77777777">
        <w:tblPrEx>
          <w:tblCellMar>
            <w:top w:w="0" w:type="dxa"/>
            <w:bottom w:w="0" w:type="dxa"/>
          </w:tblCellMar>
        </w:tblPrEx>
        <w:trPr>
          <w:cantSplit/>
          <w:trHeight w:val="560"/>
        </w:trPr>
        <w:tc>
          <w:tcPr>
            <w:tcW w:w="700" w:type="dxa"/>
            <w:tcMar>
              <w:top w:w="0" w:type="dxa"/>
              <w:bottom w:w="0" w:type="dxa"/>
            </w:tcMar>
            <w:vAlign w:val="center"/>
          </w:tcPr>
          <w:p w14:paraId="1050D910" w14:textId="77777777" w:rsidR="00300EF3" w:rsidRDefault="00E42C6C">
            <w:pPr>
              <w:keepNext/>
              <w:keepLines/>
              <w:spacing w:after="0" w:line="240" w:lineRule="auto"/>
            </w:pPr>
            <w:r>
              <w:rPr>
                <w:sz w:val="18"/>
              </w:rPr>
              <w:t>321</w:t>
            </w:r>
          </w:p>
        </w:tc>
        <w:tc>
          <w:tcPr>
            <w:tcW w:w="3180" w:type="dxa"/>
            <w:tcMar>
              <w:top w:w="0" w:type="dxa"/>
              <w:bottom w:w="0" w:type="dxa"/>
            </w:tcMar>
            <w:vAlign w:val="center"/>
          </w:tcPr>
          <w:p w14:paraId="08A4055F" w14:textId="77777777" w:rsidR="00300EF3" w:rsidRDefault="00E42C6C">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176EB6BA" w14:textId="77777777" w:rsidR="00300EF3" w:rsidRDefault="00E42C6C">
            <w:pPr>
              <w:keepNext/>
              <w:keepLines/>
              <w:spacing w:after="0" w:line="240" w:lineRule="auto"/>
            </w:pPr>
            <w:r>
              <w:rPr>
                <w:sz w:val="18"/>
              </w:rPr>
              <w:t>321</w:t>
            </w:r>
          </w:p>
        </w:tc>
        <w:tc>
          <w:tcPr>
            <w:tcW w:w="1860" w:type="dxa"/>
            <w:tcMar>
              <w:top w:w="0" w:type="dxa"/>
              <w:bottom w:w="0" w:type="dxa"/>
            </w:tcMar>
            <w:vAlign w:val="center"/>
          </w:tcPr>
          <w:p w14:paraId="0D64AD4E" w14:textId="77777777" w:rsidR="00300EF3" w:rsidRDefault="00E42C6C">
            <w:pPr>
              <w:keepNext/>
              <w:keepLines/>
              <w:spacing w:after="0" w:line="240" w:lineRule="auto"/>
              <w:jc w:val="right"/>
            </w:pPr>
            <w:r>
              <w:rPr>
                <w:sz w:val="18"/>
              </w:rPr>
              <w:t>528.439,72</w:t>
            </w:r>
          </w:p>
        </w:tc>
        <w:tc>
          <w:tcPr>
            <w:tcW w:w="1860" w:type="dxa"/>
            <w:tcMar>
              <w:top w:w="0" w:type="dxa"/>
              <w:bottom w:w="0" w:type="dxa"/>
            </w:tcMar>
            <w:vAlign w:val="center"/>
          </w:tcPr>
          <w:p w14:paraId="6A59317F" w14:textId="77777777" w:rsidR="00300EF3" w:rsidRDefault="00E42C6C">
            <w:pPr>
              <w:keepNext/>
              <w:keepLines/>
              <w:spacing w:after="0" w:line="240" w:lineRule="auto"/>
              <w:jc w:val="right"/>
            </w:pPr>
            <w:r>
              <w:rPr>
                <w:sz w:val="18"/>
              </w:rPr>
              <w:t>578.414,27</w:t>
            </w:r>
          </w:p>
        </w:tc>
        <w:tc>
          <w:tcPr>
            <w:tcW w:w="700" w:type="dxa"/>
            <w:tcMar>
              <w:top w:w="0" w:type="dxa"/>
              <w:bottom w:w="0" w:type="dxa"/>
            </w:tcMar>
            <w:vAlign w:val="center"/>
          </w:tcPr>
          <w:p w14:paraId="7ACCBCC2" w14:textId="77777777" w:rsidR="00300EF3" w:rsidRDefault="00E42C6C">
            <w:pPr>
              <w:keepNext/>
              <w:keepLines/>
              <w:spacing w:after="0" w:line="240" w:lineRule="auto"/>
              <w:jc w:val="right"/>
            </w:pPr>
            <w:r>
              <w:rPr>
                <w:sz w:val="18"/>
              </w:rPr>
              <w:t>109,5</w:t>
            </w:r>
          </w:p>
        </w:tc>
      </w:tr>
    </w:tbl>
    <w:p w14:paraId="0EDA9D33" w14:textId="77777777" w:rsidR="00300EF3" w:rsidRDefault="00300EF3">
      <w:pPr>
        <w:spacing w:after="0"/>
      </w:pPr>
    </w:p>
    <w:p w14:paraId="73CD5B88" w14:textId="77777777" w:rsidR="00300EF3" w:rsidRDefault="00E42C6C">
      <w:pPr>
        <w:jc w:val="both"/>
      </w:pPr>
      <w:r>
        <w:t>Naknade troškova zaposlenima odnose se na rashode za službena putovanja (dnevnice, smještaj i prijevoz na službenom putu), naknade za prijevoz i rad na terenu te na stručno usavršavanje zaposlenika. Ova pozicija iznosi 578.414,27€, odnosno veća je za 9,5 % u odnosu na prethodnu godinu zbog značajno većeg troška školarine poslijediplomskog studija za specijalizante medicinske sestre/tehničare i doktore medicine. Naime, u 2024.g. poslijediplomski studij je pohađalo trinaest medicinskih sestara/tehničara na sp</w:t>
      </w:r>
      <w:r>
        <w:t>ecijalizaciji, dok su u 2025.g. poslijediplomski studij pohađali dvadeset i dva specijalizanta medicinske sestre/tehničari i dva doktora medicine. Također su na ovoj poziciji povećani i putni troškovi zaposlenika za dolazak i odlazak sa radnog mjesta (veći program rada sukladno novoj Mreži).</w:t>
      </w:r>
    </w:p>
    <w:p w14:paraId="283D5E7A" w14:textId="77777777" w:rsidR="00300EF3" w:rsidRDefault="00300EF3"/>
    <w:p w14:paraId="555E41B7" w14:textId="77777777" w:rsidR="00300EF3" w:rsidRDefault="00E42C6C">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4F75F2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0BE9B1"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10E779"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8CBAF6"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ED5D6F"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266515"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00B6E9" w14:textId="77777777" w:rsidR="00300EF3" w:rsidRDefault="00E42C6C">
            <w:pPr>
              <w:keepNext/>
              <w:keepLines/>
              <w:spacing w:after="0" w:line="240" w:lineRule="auto"/>
              <w:jc w:val="center"/>
            </w:pPr>
            <w:r>
              <w:rPr>
                <w:b/>
                <w:sz w:val="18"/>
              </w:rPr>
              <w:t>Indeks (%)</w:t>
            </w:r>
          </w:p>
        </w:tc>
      </w:tr>
      <w:tr w:rsidR="00300EF3" w14:paraId="2E8DE13F" w14:textId="77777777">
        <w:tblPrEx>
          <w:tblCellMar>
            <w:top w:w="0" w:type="dxa"/>
            <w:bottom w:w="0" w:type="dxa"/>
          </w:tblCellMar>
        </w:tblPrEx>
        <w:trPr>
          <w:cantSplit/>
          <w:trHeight w:val="560"/>
        </w:trPr>
        <w:tc>
          <w:tcPr>
            <w:tcW w:w="700" w:type="dxa"/>
            <w:tcMar>
              <w:top w:w="0" w:type="dxa"/>
              <w:bottom w:w="0" w:type="dxa"/>
            </w:tcMar>
            <w:vAlign w:val="center"/>
          </w:tcPr>
          <w:p w14:paraId="7AD745B0" w14:textId="77777777" w:rsidR="00300EF3" w:rsidRDefault="00E42C6C">
            <w:pPr>
              <w:keepNext/>
              <w:keepLines/>
              <w:spacing w:after="0" w:line="240" w:lineRule="auto"/>
            </w:pPr>
            <w:r>
              <w:rPr>
                <w:sz w:val="18"/>
              </w:rPr>
              <w:t>322</w:t>
            </w:r>
          </w:p>
        </w:tc>
        <w:tc>
          <w:tcPr>
            <w:tcW w:w="3180" w:type="dxa"/>
            <w:tcMar>
              <w:top w:w="0" w:type="dxa"/>
              <w:bottom w:w="0" w:type="dxa"/>
            </w:tcMar>
            <w:vAlign w:val="center"/>
          </w:tcPr>
          <w:p w14:paraId="2F995F62" w14:textId="77777777" w:rsidR="00300EF3" w:rsidRDefault="00E42C6C">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29ED028D" w14:textId="77777777" w:rsidR="00300EF3" w:rsidRDefault="00E42C6C">
            <w:pPr>
              <w:keepNext/>
              <w:keepLines/>
              <w:spacing w:after="0" w:line="240" w:lineRule="auto"/>
            </w:pPr>
            <w:r>
              <w:rPr>
                <w:sz w:val="18"/>
              </w:rPr>
              <w:t>322</w:t>
            </w:r>
          </w:p>
        </w:tc>
        <w:tc>
          <w:tcPr>
            <w:tcW w:w="1860" w:type="dxa"/>
            <w:tcMar>
              <w:top w:w="0" w:type="dxa"/>
              <w:bottom w:w="0" w:type="dxa"/>
            </w:tcMar>
            <w:vAlign w:val="center"/>
          </w:tcPr>
          <w:p w14:paraId="0487ADCC" w14:textId="77777777" w:rsidR="00300EF3" w:rsidRDefault="00E42C6C">
            <w:pPr>
              <w:keepNext/>
              <w:keepLines/>
              <w:spacing w:after="0" w:line="240" w:lineRule="auto"/>
              <w:jc w:val="right"/>
            </w:pPr>
            <w:r>
              <w:rPr>
                <w:sz w:val="18"/>
              </w:rPr>
              <w:t>1.209.526,47</w:t>
            </w:r>
          </w:p>
        </w:tc>
        <w:tc>
          <w:tcPr>
            <w:tcW w:w="1860" w:type="dxa"/>
            <w:tcMar>
              <w:top w:w="0" w:type="dxa"/>
              <w:bottom w:w="0" w:type="dxa"/>
            </w:tcMar>
            <w:vAlign w:val="center"/>
          </w:tcPr>
          <w:p w14:paraId="64232507" w14:textId="77777777" w:rsidR="00300EF3" w:rsidRDefault="00E42C6C">
            <w:pPr>
              <w:keepNext/>
              <w:keepLines/>
              <w:spacing w:after="0" w:line="240" w:lineRule="auto"/>
              <w:jc w:val="right"/>
            </w:pPr>
            <w:r>
              <w:rPr>
                <w:sz w:val="18"/>
              </w:rPr>
              <w:t>920.353,55</w:t>
            </w:r>
          </w:p>
        </w:tc>
        <w:tc>
          <w:tcPr>
            <w:tcW w:w="700" w:type="dxa"/>
            <w:tcMar>
              <w:top w:w="0" w:type="dxa"/>
              <w:bottom w:w="0" w:type="dxa"/>
            </w:tcMar>
            <w:vAlign w:val="center"/>
          </w:tcPr>
          <w:p w14:paraId="3350670B" w14:textId="77777777" w:rsidR="00300EF3" w:rsidRDefault="00E42C6C">
            <w:pPr>
              <w:keepNext/>
              <w:keepLines/>
              <w:spacing w:after="0" w:line="240" w:lineRule="auto"/>
              <w:jc w:val="right"/>
            </w:pPr>
            <w:r>
              <w:rPr>
                <w:sz w:val="18"/>
              </w:rPr>
              <w:t>76,1</w:t>
            </w:r>
          </w:p>
        </w:tc>
      </w:tr>
    </w:tbl>
    <w:p w14:paraId="1406F5F9" w14:textId="77777777" w:rsidR="00300EF3" w:rsidRDefault="00300EF3">
      <w:pPr>
        <w:spacing w:after="0"/>
      </w:pPr>
    </w:p>
    <w:p w14:paraId="6A16FAE4" w14:textId="77777777" w:rsidR="00300EF3" w:rsidRDefault="00E42C6C">
      <w:pPr>
        <w:jc w:val="both"/>
      </w:pPr>
      <w:r>
        <w:t xml:space="preserve">Rashodi za materijal i energiju odnose se na rashode za uredski materijal, sredstva za čišćenje, materijal za higijenske potrepštine, električnu energiju, lož ulje za toplu vodu i grijanje, gorivo za vozila, materijal i dijelove za tekuće i investicijsko održavanje objekta, opreme i vozila te na rashode za sitni inventar, auto gume i službenu radnu odjeću. Ova pozicija je u 2025.g. realizirana u iznosu od 920.353,55 €, odnosno smanjena je za 23,9 % u odnosu na prethodnu godinu prvenstveno zbog novog načina </w:t>
      </w:r>
      <w:r>
        <w:t>knjiženja utroška lijekova, medicinskog kisika i potrošnog sanitetskog materijala. Naime, sukladno novom Pravilniku o proračunskom računovodstvu i Računskom planu (NN 158/2023 i 154/2024) koji se primjenjuje od 01. siječnja 2025.g., navedeni rashodi u zdravstvenim ustanovama se knjiže na skupinu 325. Također je u 2025.g. utrošeno manje goriva za vozila i manje realizirane nabave službene radne odjeće, dok su istovremeno porasli rashodi za nabavu sitnog inventara (sitna medicinska oprema) zbog obveze opreman</w:t>
      </w:r>
      <w:r>
        <w:t>ja timova hitne medicine sukladno novim standardima.</w:t>
      </w:r>
    </w:p>
    <w:p w14:paraId="0EA3E7D4" w14:textId="77777777" w:rsidR="00300EF3" w:rsidRDefault="00300EF3"/>
    <w:p w14:paraId="4101722D" w14:textId="77777777" w:rsidR="00300EF3" w:rsidRDefault="00E42C6C">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086275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861118"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4AC361"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3604E1"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65FEC2"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EB3C36"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718E06" w14:textId="77777777" w:rsidR="00300EF3" w:rsidRDefault="00E42C6C">
            <w:pPr>
              <w:keepNext/>
              <w:keepLines/>
              <w:spacing w:after="0" w:line="240" w:lineRule="auto"/>
              <w:jc w:val="center"/>
            </w:pPr>
            <w:r>
              <w:rPr>
                <w:b/>
                <w:sz w:val="18"/>
              </w:rPr>
              <w:t>Indeks (%)</w:t>
            </w:r>
          </w:p>
        </w:tc>
      </w:tr>
      <w:tr w:rsidR="00300EF3" w14:paraId="107E0D02" w14:textId="77777777">
        <w:tblPrEx>
          <w:tblCellMar>
            <w:top w:w="0" w:type="dxa"/>
            <w:bottom w:w="0" w:type="dxa"/>
          </w:tblCellMar>
        </w:tblPrEx>
        <w:trPr>
          <w:cantSplit/>
          <w:trHeight w:val="560"/>
        </w:trPr>
        <w:tc>
          <w:tcPr>
            <w:tcW w:w="700" w:type="dxa"/>
            <w:tcMar>
              <w:top w:w="0" w:type="dxa"/>
              <w:bottom w:w="0" w:type="dxa"/>
            </w:tcMar>
            <w:vAlign w:val="center"/>
          </w:tcPr>
          <w:p w14:paraId="4430DA06" w14:textId="77777777" w:rsidR="00300EF3" w:rsidRDefault="00E42C6C">
            <w:pPr>
              <w:keepNext/>
              <w:keepLines/>
              <w:spacing w:after="0" w:line="240" w:lineRule="auto"/>
            </w:pPr>
            <w:r>
              <w:rPr>
                <w:sz w:val="18"/>
              </w:rPr>
              <w:t>323</w:t>
            </w:r>
          </w:p>
        </w:tc>
        <w:tc>
          <w:tcPr>
            <w:tcW w:w="3180" w:type="dxa"/>
            <w:tcMar>
              <w:top w:w="0" w:type="dxa"/>
              <w:bottom w:w="0" w:type="dxa"/>
            </w:tcMar>
            <w:vAlign w:val="center"/>
          </w:tcPr>
          <w:p w14:paraId="2128E668" w14:textId="77777777" w:rsidR="00300EF3" w:rsidRDefault="00E42C6C">
            <w:pPr>
              <w:keepNext/>
              <w:keepLines/>
              <w:spacing w:after="0" w:line="240" w:lineRule="auto"/>
            </w:pPr>
            <w:r>
              <w:rPr>
                <w:sz w:val="18"/>
              </w:rPr>
              <w:t>Rashodi za usluge (šifre 3231 do 3239)</w:t>
            </w:r>
          </w:p>
        </w:tc>
        <w:tc>
          <w:tcPr>
            <w:tcW w:w="700" w:type="dxa"/>
            <w:tcMar>
              <w:top w:w="0" w:type="dxa"/>
              <w:bottom w:w="0" w:type="dxa"/>
            </w:tcMar>
            <w:vAlign w:val="center"/>
          </w:tcPr>
          <w:p w14:paraId="391BEF89" w14:textId="77777777" w:rsidR="00300EF3" w:rsidRDefault="00E42C6C">
            <w:pPr>
              <w:keepNext/>
              <w:keepLines/>
              <w:spacing w:after="0" w:line="240" w:lineRule="auto"/>
            </w:pPr>
            <w:r>
              <w:rPr>
                <w:sz w:val="18"/>
              </w:rPr>
              <w:t>323</w:t>
            </w:r>
          </w:p>
        </w:tc>
        <w:tc>
          <w:tcPr>
            <w:tcW w:w="1860" w:type="dxa"/>
            <w:tcMar>
              <w:top w:w="0" w:type="dxa"/>
              <w:bottom w:w="0" w:type="dxa"/>
            </w:tcMar>
            <w:vAlign w:val="center"/>
          </w:tcPr>
          <w:p w14:paraId="7FC126BE" w14:textId="77777777" w:rsidR="00300EF3" w:rsidRDefault="00E42C6C">
            <w:pPr>
              <w:keepNext/>
              <w:keepLines/>
              <w:spacing w:after="0" w:line="240" w:lineRule="auto"/>
              <w:jc w:val="right"/>
            </w:pPr>
            <w:r>
              <w:rPr>
                <w:sz w:val="18"/>
              </w:rPr>
              <w:t>1.268.114,95</w:t>
            </w:r>
          </w:p>
        </w:tc>
        <w:tc>
          <w:tcPr>
            <w:tcW w:w="1860" w:type="dxa"/>
            <w:tcMar>
              <w:top w:w="0" w:type="dxa"/>
              <w:bottom w:w="0" w:type="dxa"/>
            </w:tcMar>
            <w:vAlign w:val="center"/>
          </w:tcPr>
          <w:p w14:paraId="2FF84E45" w14:textId="77777777" w:rsidR="00300EF3" w:rsidRDefault="00E42C6C">
            <w:pPr>
              <w:keepNext/>
              <w:keepLines/>
              <w:spacing w:after="0" w:line="240" w:lineRule="auto"/>
              <w:jc w:val="right"/>
            </w:pPr>
            <w:r>
              <w:rPr>
                <w:sz w:val="18"/>
              </w:rPr>
              <w:t>1.545.895,82</w:t>
            </w:r>
          </w:p>
        </w:tc>
        <w:tc>
          <w:tcPr>
            <w:tcW w:w="700" w:type="dxa"/>
            <w:tcMar>
              <w:top w:w="0" w:type="dxa"/>
              <w:bottom w:w="0" w:type="dxa"/>
            </w:tcMar>
            <w:vAlign w:val="center"/>
          </w:tcPr>
          <w:p w14:paraId="63DF81A9" w14:textId="77777777" w:rsidR="00300EF3" w:rsidRDefault="00E42C6C">
            <w:pPr>
              <w:keepNext/>
              <w:keepLines/>
              <w:spacing w:after="0" w:line="240" w:lineRule="auto"/>
              <w:jc w:val="right"/>
            </w:pPr>
            <w:r>
              <w:rPr>
                <w:sz w:val="18"/>
              </w:rPr>
              <w:t>121,9</w:t>
            </w:r>
          </w:p>
        </w:tc>
      </w:tr>
    </w:tbl>
    <w:p w14:paraId="4EC5CCAF" w14:textId="77777777" w:rsidR="00300EF3" w:rsidRDefault="00300EF3">
      <w:pPr>
        <w:spacing w:after="0"/>
      </w:pPr>
    </w:p>
    <w:p w14:paraId="154A2FF1" w14:textId="77777777" w:rsidR="00300EF3" w:rsidRDefault="00E42C6C">
      <w:pPr>
        <w:jc w:val="both"/>
      </w:pPr>
      <w:r>
        <w:t>Rashodi za usluge odnose se na usluge telefona, interneta, poštarine, prijevoza gliserom, na usluge tekućeg i investicijskog održavanja opreme i vozila, na usluge promidžbe i informiranja, komunalne usluge (voda, odvoz smeća i infektivnog otpada, deratizacije, pražnjenja septičkih jama, pričuve, uređenja okoliša), najamnine, licence, usluge zdravstvenih pregleda zaposlenika i laboratorijske usluge, usluge pripravnosti doktora, usluge student servisa i agencija, usluge zaštite na radu, računalne usluge, regi</w:t>
      </w:r>
      <w:r>
        <w:t>stracije vozila, usluge čišćenja prostorija i vozila, pranja robe i druge ostale usluge. Ova pozicija je u 2025.g. realizirana u iznosu od 1.545.895,82 €, odnosno veća je za 21,9 % u odnosu na prethodnu godinu zbog povećanih potreba za uslugom tekućeg i investicijskog održavanja objekata, vozila i medicinske opreme, angažiranja vanjskih suradnika za rad u helikopterskoj hitnoj medicinskoj službi (HHMS) te većih rashoda u svezi specijalističkog usavršavanja iz hitne medicine. Istovremeno, na ovoj poziciji is</w:t>
      </w:r>
      <w:r>
        <w:t>kazani su manji rashodi za usluge hitnog prijevoza bolesnika sa otoka zbog uspostava hitne pomorske medicinske službe brzom brodicom (Ministarstvo zdravstva).</w:t>
      </w:r>
    </w:p>
    <w:p w14:paraId="5A1DE646" w14:textId="77777777" w:rsidR="00300EF3" w:rsidRDefault="00300EF3"/>
    <w:p w14:paraId="4817EE56" w14:textId="77777777" w:rsidR="00300EF3" w:rsidRDefault="00E42C6C">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4D91E2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1F2A17"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9E8DD3"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B3867C"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3B0AAD"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158190"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184EBF" w14:textId="77777777" w:rsidR="00300EF3" w:rsidRDefault="00E42C6C">
            <w:pPr>
              <w:keepNext/>
              <w:keepLines/>
              <w:spacing w:after="0" w:line="240" w:lineRule="auto"/>
              <w:jc w:val="center"/>
            </w:pPr>
            <w:r>
              <w:rPr>
                <w:b/>
                <w:sz w:val="18"/>
              </w:rPr>
              <w:t>Indeks (%)</w:t>
            </w:r>
          </w:p>
        </w:tc>
      </w:tr>
      <w:tr w:rsidR="00300EF3" w14:paraId="0DB50640" w14:textId="77777777">
        <w:tblPrEx>
          <w:tblCellMar>
            <w:top w:w="0" w:type="dxa"/>
            <w:bottom w:w="0" w:type="dxa"/>
          </w:tblCellMar>
        </w:tblPrEx>
        <w:trPr>
          <w:cantSplit/>
          <w:trHeight w:val="560"/>
        </w:trPr>
        <w:tc>
          <w:tcPr>
            <w:tcW w:w="700" w:type="dxa"/>
            <w:tcMar>
              <w:top w:w="0" w:type="dxa"/>
              <w:bottom w:w="0" w:type="dxa"/>
            </w:tcMar>
            <w:vAlign w:val="center"/>
          </w:tcPr>
          <w:p w14:paraId="70B0343E" w14:textId="77777777" w:rsidR="00300EF3" w:rsidRDefault="00E42C6C">
            <w:pPr>
              <w:keepNext/>
              <w:keepLines/>
              <w:spacing w:after="0" w:line="240" w:lineRule="auto"/>
            </w:pPr>
            <w:r>
              <w:rPr>
                <w:sz w:val="18"/>
              </w:rPr>
              <w:t>325</w:t>
            </w:r>
          </w:p>
        </w:tc>
        <w:tc>
          <w:tcPr>
            <w:tcW w:w="3180" w:type="dxa"/>
            <w:tcMar>
              <w:top w:w="0" w:type="dxa"/>
              <w:bottom w:w="0" w:type="dxa"/>
            </w:tcMar>
            <w:vAlign w:val="center"/>
          </w:tcPr>
          <w:p w14:paraId="32D13519" w14:textId="77777777" w:rsidR="00300EF3" w:rsidRDefault="00E42C6C">
            <w:pPr>
              <w:keepNext/>
              <w:keepLines/>
              <w:spacing w:after="0" w:line="240" w:lineRule="auto"/>
            </w:pPr>
            <w:r>
              <w:rPr>
                <w:sz w:val="18"/>
              </w:rPr>
              <w:t>Rashodi lijekova i potrošnog medicinskog materijala kod zdravstvenih ustanova (šifre 3251 do 3254)</w:t>
            </w:r>
          </w:p>
        </w:tc>
        <w:tc>
          <w:tcPr>
            <w:tcW w:w="700" w:type="dxa"/>
            <w:tcMar>
              <w:top w:w="0" w:type="dxa"/>
              <w:bottom w:w="0" w:type="dxa"/>
            </w:tcMar>
            <w:vAlign w:val="center"/>
          </w:tcPr>
          <w:p w14:paraId="1EEEBC40" w14:textId="77777777" w:rsidR="00300EF3" w:rsidRDefault="00E42C6C">
            <w:pPr>
              <w:keepNext/>
              <w:keepLines/>
              <w:spacing w:after="0" w:line="240" w:lineRule="auto"/>
            </w:pPr>
            <w:r>
              <w:rPr>
                <w:sz w:val="18"/>
              </w:rPr>
              <w:t>325</w:t>
            </w:r>
          </w:p>
        </w:tc>
        <w:tc>
          <w:tcPr>
            <w:tcW w:w="1860" w:type="dxa"/>
            <w:tcMar>
              <w:top w:w="0" w:type="dxa"/>
              <w:bottom w:w="0" w:type="dxa"/>
            </w:tcMar>
            <w:vAlign w:val="center"/>
          </w:tcPr>
          <w:p w14:paraId="47B8B79E" w14:textId="77777777" w:rsidR="00300EF3" w:rsidRDefault="00E42C6C">
            <w:pPr>
              <w:keepNext/>
              <w:keepLines/>
              <w:spacing w:after="0" w:line="240" w:lineRule="auto"/>
              <w:jc w:val="right"/>
            </w:pPr>
            <w:r>
              <w:rPr>
                <w:sz w:val="18"/>
              </w:rPr>
              <w:t>0,00</w:t>
            </w:r>
          </w:p>
        </w:tc>
        <w:tc>
          <w:tcPr>
            <w:tcW w:w="1860" w:type="dxa"/>
            <w:tcMar>
              <w:top w:w="0" w:type="dxa"/>
              <w:bottom w:w="0" w:type="dxa"/>
            </w:tcMar>
            <w:vAlign w:val="center"/>
          </w:tcPr>
          <w:p w14:paraId="14691679" w14:textId="77777777" w:rsidR="00300EF3" w:rsidRDefault="00E42C6C">
            <w:pPr>
              <w:keepNext/>
              <w:keepLines/>
              <w:spacing w:after="0" w:line="240" w:lineRule="auto"/>
              <w:jc w:val="right"/>
            </w:pPr>
            <w:r>
              <w:rPr>
                <w:sz w:val="18"/>
              </w:rPr>
              <w:t>279.572,21</w:t>
            </w:r>
          </w:p>
        </w:tc>
        <w:tc>
          <w:tcPr>
            <w:tcW w:w="700" w:type="dxa"/>
            <w:tcMar>
              <w:top w:w="0" w:type="dxa"/>
              <w:bottom w:w="0" w:type="dxa"/>
            </w:tcMar>
            <w:vAlign w:val="center"/>
          </w:tcPr>
          <w:p w14:paraId="1E8FCCEB" w14:textId="77777777" w:rsidR="00300EF3" w:rsidRDefault="00E42C6C">
            <w:pPr>
              <w:keepNext/>
              <w:keepLines/>
              <w:spacing w:after="0" w:line="240" w:lineRule="auto"/>
              <w:jc w:val="right"/>
            </w:pPr>
            <w:r>
              <w:rPr>
                <w:sz w:val="18"/>
              </w:rPr>
              <w:t>-</w:t>
            </w:r>
          </w:p>
        </w:tc>
      </w:tr>
    </w:tbl>
    <w:p w14:paraId="74BD8589" w14:textId="77777777" w:rsidR="00300EF3" w:rsidRDefault="00300EF3">
      <w:pPr>
        <w:spacing w:after="0"/>
      </w:pPr>
    </w:p>
    <w:p w14:paraId="25B8D321" w14:textId="77777777" w:rsidR="00300EF3" w:rsidRDefault="00E42C6C">
      <w:pPr>
        <w:jc w:val="both"/>
      </w:pPr>
      <w:r>
        <w:t>Od 01. siječnja 2025.g., a sukladno novom Pravilniku o proračunskom računovodstvu i Računskom planu rashode za utrošak lijekova i potrošnog medicinskog materijala u zdravstvenim ustanovama potrebno je knjižiti na novim osnovnim računima 32511 i 32513. Stoga se na ovoj poziciji u 2025.g. nalazi ukupan iznos rashoda za utrošak lijekova i sanitetskog materijala u iznosu od 279.572,21 €, koji se u prethodnoj godini nalazio na poziciji 322 – Rashodi za materijal i energiju.</w:t>
      </w:r>
    </w:p>
    <w:p w14:paraId="3E88644B" w14:textId="77777777" w:rsidR="00300EF3" w:rsidRDefault="00300EF3"/>
    <w:p w14:paraId="117C59C8" w14:textId="77777777" w:rsidR="00300EF3" w:rsidRDefault="00E42C6C">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040E96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8CFA89"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745268"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8A2431"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9B3F6B"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DCE0FB"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AFF9CB" w14:textId="77777777" w:rsidR="00300EF3" w:rsidRDefault="00E42C6C">
            <w:pPr>
              <w:keepNext/>
              <w:keepLines/>
              <w:spacing w:after="0" w:line="240" w:lineRule="auto"/>
              <w:jc w:val="center"/>
            </w:pPr>
            <w:r>
              <w:rPr>
                <w:b/>
                <w:sz w:val="18"/>
              </w:rPr>
              <w:t>Indeks (%)</w:t>
            </w:r>
          </w:p>
        </w:tc>
      </w:tr>
      <w:tr w:rsidR="00300EF3" w14:paraId="7A943E4F" w14:textId="77777777">
        <w:tblPrEx>
          <w:tblCellMar>
            <w:top w:w="0" w:type="dxa"/>
            <w:bottom w:w="0" w:type="dxa"/>
          </w:tblCellMar>
        </w:tblPrEx>
        <w:trPr>
          <w:cantSplit/>
          <w:trHeight w:val="560"/>
        </w:trPr>
        <w:tc>
          <w:tcPr>
            <w:tcW w:w="700" w:type="dxa"/>
            <w:tcMar>
              <w:top w:w="0" w:type="dxa"/>
              <w:bottom w:w="0" w:type="dxa"/>
            </w:tcMar>
            <w:vAlign w:val="center"/>
          </w:tcPr>
          <w:p w14:paraId="3EC09BB9" w14:textId="77777777" w:rsidR="00300EF3" w:rsidRDefault="00E42C6C">
            <w:pPr>
              <w:keepNext/>
              <w:keepLines/>
              <w:spacing w:after="0" w:line="240" w:lineRule="auto"/>
            </w:pPr>
            <w:r>
              <w:rPr>
                <w:sz w:val="18"/>
              </w:rPr>
              <w:t>329</w:t>
            </w:r>
          </w:p>
        </w:tc>
        <w:tc>
          <w:tcPr>
            <w:tcW w:w="3180" w:type="dxa"/>
            <w:tcMar>
              <w:top w:w="0" w:type="dxa"/>
              <w:bottom w:w="0" w:type="dxa"/>
            </w:tcMar>
            <w:vAlign w:val="center"/>
          </w:tcPr>
          <w:p w14:paraId="7E22E6B0" w14:textId="77777777" w:rsidR="00300EF3" w:rsidRDefault="00E42C6C">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1BF8F004" w14:textId="77777777" w:rsidR="00300EF3" w:rsidRDefault="00E42C6C">
            <w:pPr>
              <w:keepNext/>
              <w:keepLines/>
              <w:spacing w:after="0" w:line="240" w:lineRule="auto"/>
            </w:pPr>
            <w:r>
              <w:rPr>
                <w:sz w:val="18"/>
              </w:rPr>
              <w:t>329</w:t>
            </w:r>
          </w:p>
        </w:tc>
        <w:tc>
          <w:tcPr>
            <w:tcW w:w="1860" w:type="dxa"/>
            <w:tcMar>
              <w:top w:w="0" w:type="dxa"/>
              <w:bottom w:w="0" w:type="dxa"/>
            </w:tcMar>
            <w:vAlign w:val="center"/>
          </w:tcPr>
          <w:p w14:paraId="381C8985" w14:textId="77777777" w:rsidR="00300EF3" w:rsidRDefault="00E42C6C">
            <w:pPr>
              <w:keepNext/>
              <w:keepLines/>
              <w:spacing w:after="0" w:line="240" w:lineRule="auto"/>
              <w:jc w:val="right"/>
            </w:pPr>
            <w:r>
              <w:rPr>
                <w:sz w:val="18"/>
              </w:rPr>
              <w:t>119.803,61</w:t>
            </w:r>
          </w:p>
        </w:tc>
        <w:tc>
          <w:tcPr>
            <w:tcW w:w="1860" w:type="dxa"/>
            <w:tcMar>
              <w:top w:w="0" w:type="dxa"/>
              <w:bottom w:w="0" w:type="dxa"/>
            </w:tcMar>
            <w:vAlign w:val="center"/>
          </w:tcPr>
          <w:p w14:paraId="39D47268" w14:textId="77777777" w:rsidR="00300EF3" w:rsidRDefault="00E42C6C">
            <w:pPr>
              <w:keepNext/>
              <w:keepLines/>
              <w:spacing w:after="0" w:line="240" w:lineRule="auto"/>
              <w:jc w:val="right"/>
            </w:pPr>
            <w:r>
              <w:rPr>
                <w:sz w:val="18"/>
              </w:rPr>
              <w:t>103.005,00</w:t>
            </w:r>
          </w:p>
        </w:tc>
        <w:tc>
          <w:tcPr>
            <w:tcW w:w="700" w:type="dxa"/>
            <w:tcMar>
              <w:top w:w="0" w:type="dxa"/>
              <w:bottom w:w="0" w:type="dxa"/>
            </w:tcMar>
            <w:vAlign w:val="center"/>
          </w:tcPr>
          <w:p w14:paraId="2635D760" w14:textId="77777777" w:rsidR="00300EF3" w:rsidRDefault="00E42C6C">
            <w:pPr>
              <w:keepNext/>
              <w:keepLines/>
              <w:spacing w:after="0" w:line="240" w:lineRule="auto"/>
              <w:jc w:val="right"/>
            </w:pPr>
            <w:r>
              <w:rPr>
                <w:sz w:val="18"/>
              </w:rPr>
              <w:t>86,0</w:t>
            </w:r>
          </w:p>
        </w:tc>
      </w:tr>
    </w:tbl>
    <w:p w14:paraId="242764FF" w14:textId="77777777" w:rsidR="00300EF3" w:rsidRDefault="00300EF3">
      <w:pPr>
        <w:spacing w:after="0"/>
      </w:pPr>
    </w:p>
    <w:p w14:paraId="165A4DB3" w14:textId="77777777" w:rsidR="00300EF3" w:rsidRDefault="00E42C6C">
      <w:pPr>
        <w:jc w:val="both"/>
      </w:pPr>
      <w:r>
        <w:lastRenderedPageBreak/>
        <w:t>Ostali nespomenuti rashodi poslovanja odnose se na naknade za rad Upravnog vijeća, premije osiguranja zaposlenika, imovine i vozila, članarine, sudske pristojbe i naknade, troškove sudskih postupaka i ostale nespomenute rashode. Ova pozicija u 2025.g. iznosi 103.005,00 €, te je za 14 % manja u odnosu na prethodnu godinu. Razlog smanjenja je prvenstveno u manjim rashodima za troškove sudskih postupaka jer je u 2025.g. nema više pravomoćnih presuda za osnovicu.</w:t>
      </w:r>
    </w:p>
    <w:p w14:paraId="2163954F" w14:textId="77777777" w:rsidR="00300EF3" w:rsidRDefault="00300EF3"/>
    <w:p w14:paraId="0463C3E8" w14:textId="77777777" w:rsidR="00300EF3" w:rsidRDefault="00E42C6C">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7A2931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5F4459"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CDAC21"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511E65"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07E036"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313116"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34FF0B" w14:textId="77777777" w:rsidR="00300EF3" w:rsidRDefault="00E42C6C">
            <w:pPr>
              <w:keepNext/>
              <w:keepLines/>
              <w:spacing w:after="0" w:line="240" w:lineRule="auto"/>
              <w:jc w:val="center"/>
            </w:pPr>
            <w:r>
              <w:rPr>
                <w:b/>
                <w:sz w:val="18"/>
              </w:rPr>
              <w:t>Indeks (%)</w:t>
            </w:r>
          </w:p>
        </w:tc>
      </w:tr>
      <w:tr w:rsidR="00300EF3" w14:paraId="7C6E856D" w14:textId="77777777">
        <w:tblPrEx>
          <w:tblCellMar>
            <w:top w:w="0" w:type="dxa"/>
            <w:bottom w:w="0" w:type="dxa"/>
          </w:tblCellMar>
        </w:tblPrEx>
        <w:trPr>
          <w:cantSplit/>
          <w:trHeight w:val="560"/>
        </w:trPr>
        <w:tc>
          <w:tcPr>
            <w:tcW w:w="700" w:type="dxa"/>
            <w:tcMar>
              <w:top w:w="0" w:type="dxa"/>
              <w:bottom w:w="0" w:type="dxa"/>
            </w:tcMar>
            <w:vAlign w:val="center"/>
          </w:tcPr>
          <w:p w14:paraId="196EE34B" w14:textId="77777777" w:rsidR="00300EF3" w:rsidRDefault="00E42C6C">
            <w:pPr>
              <w:keepNext/>
              <w:keepLines/>
              <w:spacing w:after="0" w:line="240" w:lineRule="auto"/>
            </w:pPr>
            <w:r>
              <w:rPr>
                <w:sz w:val="18"/>
              </w:rPr>
              <w:t>343</w:t>
            </w:r>
          </w:p>
        </w:tc>
        <w:tc>
          <w:tcPr>
            <w:tcW w:w="3180" w:type="dxa"/>
            <w:tcMar>
              <w:top w:w="0" w:type="dxa"/>
              <w:bottom w:w="0" w:type="dxa"/>
            </w:tcMar>
            <w:vAlign w:val="center"/>
          </w:tcPr>
          <w:p w14:paraId="4E1272D0" w14:textId="77777777" w:rsidR="00300EF3" w:rsidRDefault="00E42C6C">
            <w:pPr>
              <w:keepNext/>
              <w:keepLines/>
              <w:spacing w:after="0" w:line="240" w:lineRule="auto"/>
            </w:pPr>
            <w:r>
              <w:rPr>
                <w:sz w:val="18"/>
              </w:rPr>
              <w:t>Ostali financijski rashodi (šifre 3431 do 3434)</w:t>
            </w:r>
          </w:p>
        </w:tc>
        <w:tc>
          <w:tcPr>
            <w:tcW w:w="700" w:type="dxa"/>
            <w:tcMar>
              <w:top w:w="0" w:type="dxa"/>
              <w:bottom w:w="0" w:type="dxa"/>
            </w:tcMar>
            <w:vAlign w:val="center"/>
          </w:tcPr>
          <w:p w14:paraId="34CB62BD" w14:textId="77777777" w:rsidR="00300EF3" w:rsidRDefault="00E42C6C">
            <w:pPr>
              <w:keepNext/>
              <w:keepLines/>
              <w:spacing w:after="0" w:line="240" w:lineRule="auto"/>
            </w:pPr>
            <w:r>
              <w:rPr>
                <w:sz w:val="18"/>
              </w:rPr>
              <w:t>343</w:t>
            </w:r>
          </w:p>
        </w:tc>
        <w:tc>
          <w:tcPr>
            <w:tcW w:w="1860" w:type="dxa"/>
            <w:tcMar>
              <w:top w:w="0" w:type="dxa"/>
              <w:bottom w:w="0" w:type="dxa"/>
            </w:tcMar>
            <w:vAlign w:val="center"/>
          </w:tcPr>
          <w:p w14:paraId="7997C9F1" w14:textId="77777777" w:rsidR="00300EF3" w:rsidRDefault="00E42C6C">
            <w:pPr>
              <w:keepNext/>
              <w:keepLines/>
              <w:spacing w:after="0" w:line="240" w:lineRule="auto"/>
              <w:jc w:val="right"/>
            </w:pPr>
            <w:r>
              <w:rPr>
                <w:sz w:val="18"/>
              </w:rPr>
              <w:t>17.760,63</w:t>
            </w:r>
          </w:p>
        </w:tc>
        <w:tc>
          <w:tcPr>
            <w:tcW w:w="1860" w:type="dxa"/>
            <w:tcMar>
              <w:top w:w="0" w:type="dxa"/>
              <w:bottom w:w="0" w:type="dxa"/>
            </w:tcMar>
            <w:vAlign w:val="center"/>
          </w:tcPr>
          <w:p w14:paraId="4F2B2839" w14:textId="77777777" w:rsidR="00300EF3" w:rsidRDefault="00E42C6C">
            <w:pPr>
              <w:keepNext/>
              <w:keepLines/>
              <w:spacing w:after="0" w:line="240" w:lineRule="auto"/>
              <w:jc w:val="right"/>
            </w:pPr>
            <w:r>
              <w:rPr>
                <w:sz w:val="18"/>
              </w:rPr>
              <w:t>15.562,07</w:t>
            </w:r>
          </w:p>
        </w:tc>
        <w:tc>
          <w:tcPr>
            <w:tcW w:w="700" w:type="dxa"/>
            <w:tcMar>
              <w:top w:w="0" w:type="dxa"/>
              <w:bottom w:w="0" w:type="dxa"/>
            </w:tcMar>
            <w:vAlign w:val="center"/>
          </w:tcPr>
          <w:p w14:paraId="45B2EE58" w14:textId="77777777" w:rsidR="00300EF3" w:rsidRDefault="00E42C6C">
            <w:pPr>
              <w:keepNext/>
              <w:keepLines/>
              <w:spacing w:after="0" w:line="240" w:lineRule="auto"/>
              <w:jc w:val="right"/>
            </w:pPr>
            <w:r>
              <w:rPr>
                <w:sz w:val="18"/>
              </w:rPr>
              <w:t>87,6</w:t>
            </w:r>
          </w:p>
        </w:tc>
      </w:tr>
    </w:tbl>
    <w:p w14:paraId="3701902C" w14:textId="77777777" w:rsidR="00300EF3" w:rsidRDefault="00300EF3">
      <w:pPr>
        <w:spacing w:after="0"/>
      </w:pPr>
    </w:p>
    <w:p w14:paraId="5204BF46" w14:textId="77777777" w:rsidR="00300EF3" w:rsidRDefault="00E42C6C">
      <w:pPr>
        <w:jc w:val="both"/>
      </w:pPr>
      <w:r>
        <w:t>Ostali financijski rashodi odnose se na bankarske usluge, usluge platnog prometa, negativne tečajne razlike i zatezne kamate. Ova vrsta rashoda u 2025.g. iznosi 15.562,07 € te je za 12,4 % manja u odnosu na prethodnu godinu jer je u 2025.g. isplaćen manji broj presuda, a time i plaćen manji iznos zateznih kamata.</w:t>
      </w:r>
    </w:p>
    <w:p w14:paraId="1B2AD1B9" w14:textId="77777777" w:rsidR="00300EF3" w:rsidRDefault="00300EF3"/>
    <w:p w14:paraId="54BC7242" w14:textId="77777777" w:rsidR="00300EF3" w:rsidRDefault="00E42C6C">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65EC826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7835D3"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B5D66B"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EF7686"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A2E09A"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8F3967"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9A0CDE" w14:textId="77777777" w:rsidR="00300EF3" w:rsidRDefault="00E42C6C">
            <w:pPr>
              <w:keepNext/>
              <w:keepLines/>
              <w:spacing w:after="0" w:line="240" w:lineRule="auto"/>
              <w:jc w:val="center"/>
            </w:pPr>
            <w:r>
              <w:rPr>
                <w:b/>
                <w:sz w:val="18"/>
              </w:rPr>
              <w:t>Indeks (%)</w:t>
            </w:r>
          </w:p>
        </w:tc>
      </w:tr>
      <w:tr w:rsidR="00300EF3" w14:paraId="0EB9154E" w14:textId="77777777">
        <w:tblPrEx>
          <w:tblCellMar>
            <w:top w:w="0" w:type="dxa"/>
            <w:bottom w:w="0" w:type="dxa"/>
          </w:tblCellMar>
        </w:tblPrEx>
        <w:trPr>
          <w:cantSplit/>
          <w:trHeight w:val="560"/>
        </w:trPr>
        <w:tc>
          <w:tcPr>
            <w:tcW w:w="700" w:type="dxa"/>
            <w:tcMar>
              <w:top w:w="0" w:type="dxa"/>
              <w:bottom w:w="0" w:type="dxa"/>
            </w:tcMar>
            <w:vAlign w:val="center"/>
          </w:tcPr>
          <w:p w14:paraId="3D549160" w14:textId="77777777" w:rsidR="00300EF3" w:rsidRDefault="00E42C6C">
            <w:pPr>
              <w:keepNext/>
              <w:keepLines/>
              <w:spacing w:after="0" w:line="240" w:lineRule="auto"/>
            </w:pPr>
            <w:r>
              <w:rPr>
                <w:sz w:val="18"/>
              </w:rPr>
              <w:t>382</w:t>
            </w:r>
          </w:p>
        </w:tc>
        <w:tc>
          <w:tcPr>
            <w:tcW w:w="3180" w:type="dxa"/>
            <w:tcMar>
              <w:top w:w="0" w:type="dxa"/>
              <w:bottom w:w="0" w:type="dxa"/>
            </w:tcMar>
            <w:vAlign w:val="center"/>
          </w:tcPr>
          <w:p w14:paraId="7059DA6D" w14:textId="77777777" w:rsidR="00300EF3" w:rsidRDefault="00E42C6C">
            <w:pPr>
              <w:keepNext/>
              <w:keepLines/>
              <w:spacing w:after="0" w:line="240" w:lineRule="auto"/>
            </w:pPr>
            <w:r>
              <w:rPr>
                <w:sz w:val="18"/>
              </w:rPr>
              <w:t>Kapitalne donacije (šifre 3821 do 3824)</w:t>
            </w:r>
          </w:p>
        </w:tc>
        <w:tc>
          <w:tcPr>
            <w:tcW w:w="700" w:type="dxa"/>
            <w:tcMar>
              <w:top w:w="0" w:type="dxa"/>
              <w:bottom w:w="0" w:type="dxa"/>
            </w:tcMar>
            <w:vAlign w:val="center"/>
          </w:tcPr>
          <w:p w14:paraId="421D7D89" w14:textId="77777777" w:rsidR="00300EF3" w:rsidRDefault="00E42C6C">
            <w:pPr>
              <w:keepNext/>
              <w:keepLines/>
              <w:spacing w:after="0" w:line="240" w:lineRule="auto"/>
            </w:pPr>
            <w:r>
              <w:rPr>
                <w:sz w:val="18"/>
              </w:rPr>
              <w:t>382</w:t>
            </w:r>
          </w:p>
        </w:tc>
        <w:tc>
          <w:tcPr>
            <w:tcW w:w="1860" w:type="dxa"/>
            <w:tcMar>
              <w:top w:w="0" w:type="dxa"/>
              <w:bottom w:w="0" w:type="dxa"/>
            </w:tcMar>
            <w:vAlign w:val="center"/>
          </w:tcPr>
          <w:p w14:paraId="0065C704" w14:textId="77777777" w:rsidR="00300EF3" w:rsidRDefault="00E42C6C">
            <w:pPr>
              <w:keepNext/>
              <w:keepLines/>
              <w:spacing w:after="0" w:line="240" w:lineRule="auto"/>
              <w:jc w:val="right"/>
            </w:pPr>
            <w:r>
              <w:rPr>
                <w:sz w:val="18"/>
              </w:rPr>
              <w:t>1.100,00</w:t>
            </w:r>
          </w:p>
        </w:tc>
        <w:tc>
          <w:tcPr>
            <w:tcW w:w="1860" w:type="dxa"/>
            <w:tcMar>
              <w:top w:w="0" w:type="dxa"/>
              <w:bottom w:w="0" w:type="dxa"/>
            </w:tcMar>
            <w:vAlign w:val="center"/>
          </w:tcPr>
          <w:p w14:paraId="5B909A8D" w14:textId="77777777" w:rsidR="00300EF3" w:rsidRDefault="00E42C6C">
            <w:pPr>
              <w:keepNext/>
              <w:keepLines/>
              <w:spacing w:after="0" w:line="240" w:lineRule="auto"/>
              <w:jc w:val="right"/>
            </w:pPr>
            <w:r>
              <w:rPr>
                <w:sz w:val="18"/>
              </w:rPr>
              <w:t>0,00</w:t>
            </w:r>
          </w:p>
        </w:tc>
        <w:tc>
          <w:tcPr>
            <w:tcW w:w="700" w:type="dxa"/>
            <w:tcMar>
              <w:top w:w="0" w:type="dxa"/>
              <w:bottom w:w="0" w:type="dxa"/>
            </w:tcMar>
            <w:vAlign w:val="center"/>
          </w:tcPr>
          <w:p w14:paraId="5585F29B" w14:textId="77777777" w:rsidR="00300EF3" w:rsidRDefault="00E42C6C">
            <w:pPr>
              <w:keepNext/>
              <w:keepLines/>
              <w:spacing w:after="0" w:line="240" w:lineRule="auto"/>
              <w:jc w:val="right"/>
            </w:pPr>
            <w:r>
              <w:rPr>
                <w:sz w:val="18"/>
              </w:rPr>
              <w:t>0</w:t>
            </w:r>
          </w:p>
        </w:tc>
      </w:tr>
    </w:tbl>
    <w:p w14:paraId="6D730183" w14:textId="77777777" w:rsidR="00300EF3" w:rsidRDefault="00300EF3">
      <w:pPr>
        <w:spacing w:after="0"/>
      </w:pPr>
    </w:p>
    <w:p w14:paraId="700DF6EC" w14:textId="77777777" w:rsidR="00300EF3" w:rsidRDefault="00E42C6C">
      <w:pPr>
        <w:jc w:val="both"/>
      </w:pPr>
      <w:r>
        <w:t>U 2024.g. je na ovoj poziciji iskazana Kapitalna donacija neprofitnim organizacijama u visini procijenjene vrijednosti rashodovanog sanitetskog vozila koje je darovano Vatrogasnoj zajednici Splitsko-dalmatinske županije. U 2025.g. nema ove vrste rashoda.</w:t>
      </w:r>
    </w:p>
    <w:p w14:paraId="62C6B125" w14:textId="77777777" w:rsidR="00300EF3" w:rsidRDefault="00300EF3"/>
    <w:p w14:paraId="7B86CA8E" w14:textId="77777777" w:rsidR="00300EF3" w:rsidRDefault="00E42C6C">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2CD211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159BEC"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0BB421"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0A3884"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271AB0"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3799CC"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13E202" w14:textId="77777777" w:rsidR="00300EF3" w:rsidRDefault="00E42C6C">
            <w:pPr>
              <w:keepNext/>
              <w:keepLines/>
              <w:spacing w:after="0" w:line="240" w:lineRule="auto"/>
              <w:jc w:val="center"/>
            </w:pPr>
            <w:r>
              <w:rPr>
                <w:b/>
                <w:sz w:val="18"/>
              </w:rPr>
              <w:t>Indeks (%)</w:t>
            </w:r>
          </w:p>
        </w:tc>
      </w:tr>
      <w:tr w:rsidR="00300EF3" w14:paraId="04AAE707" w14:textId="77777777">
        <w:tblPrEx>
          <w:tblCellMar>
            <w:top w:w="0" w:type="dxa"/>
            <w:bottom w:w="0" w:type="dxa"/>
          </w:tblCellMar>
        </w:tblPrEx>
        <w:trPr>
          <w:cantSplit/>
          <w:trHeight w:val="560"/>
        </w:trPr>
        <w:tc>
          <w:tcPr>
            <w:tcW w:w="700" w:type="dxa"/>
            <w:tcMar>
              <w:top w:w="0" w:type="dxa"/>
              <w:bottom w:w="0" w:type="dxa"/>
            </w:tcMar>
            <w:vAlign w:val="center"/>
          </w:tcPr>
          <w:p w14:paraId="11F0DDD4" w14:textId="77777777" w:rsidR="00300EF3" w:rsidRDefault="00E42C6C">
            <w:pPr>
              <w:keepNext/>
              <w:keepLines/>
              <w:spacing w:after="0" w:line="240" w:lineRule="auto"/>
            </w:pPr>
            <w:r>
              <w:rPr>
                <w:sz w:val="18"/>
              </w:rPr>
              <w:t>96</w:t>
            </w:r>
          </w:p>
        </w:tc>
        <w:tc>
          <w:tcPr>
            <w:tcW w:w="3180" w:type="dxa"/>
            <w:tcMar>
              <w:top w:w="0" w:type="dxa"/>
              <w:bottom w:w="0" w:type="dxa"/>
            </w:tcMar>
            <w:vAlign w:val="center"/>
          </w:tcPr>
          <w:p w14:paraId="607ACB9B" w14:textId="77777777" w:rsidR="00300EF3" w:rsidRDefault="00E42C6C">
            <w:pPr>
              <w:keepNext/>
              <w:keepLines/>
              <w:spacing w:after="0" w:line="240" w:lineRule="auto"/>
            </w:pPr>
            <w:r>
              <w:rPr>
                <w:sz w:val="18"/>
              </w:rPr>
              <w:t>Obračunati prihodi poslovanja - nenaplaćeni</w:t>
            </w:r>
          </w:p>
        </w:tc>
        <w:tc>
          <w:tcPr>
            <w:tcW w:w="700" w:type="dxa"/>
            <w:tcMar>
              <w:top w:w="0" w:type="dxa"/>
              <w:bottom w:w="0" w:type="dxa"/>
            </w:tcMar>
            <w:vAlign w:val="center"/>
          </w:tcPr>
          <w:p w14:paraId="61E1DEFC" w14:textId="77777777" w:rsidR="00300EF3" w:rsidRDefault="00E42C6C">
            <w:pPr>
              <w:keepNext/>
              <w:keepLines/>
              <w:spacing w:after="0" w:line="240" w:lineRule="auto"/>
            </w:pPr>
            <w:r>
              <w:rPr>
                <w:sz w:val="18"/>
              </w:rPr>
              <w:t>96</w:t>
            </w:r>
          </w:p>
        </w:tc>
        <w:tc>
          <w:tcPr>
            <w:tcW w:w="1860" w:type="dxa"/>
            <w:tcMar>
              <w:top w:w="0" w:type="dxa"/>
              <w:bottom w:w="0" w:type="dxa"/>
            </w:tcMar>
            <w:vAlign w:val="center"/>
          </w:tcPr>
          <w:p w14:paraId="3134560B" w14:textId="77777777" w:rsidR="00300EF3" w:rsidRDefault="00E42C6C">
            <w:pPr>
              <w:keepNext/>
              <w:keepLines/>
              <w:spacing w:after="0" w:line="240" w:lineRule="auto"/>
              <w:jc w:val="right"/>
            </w:pPr>
            <w:r>
              <w:rPr>
                <w:sz w:val="18"/>
              </w:rPr>
              <w:t>2.433.406,05</w:t>
            </w:r>
          </w:p>
        </w:tc>
        <w:tc>
          <w:tcPr>
            <w:tcW w:w="1860" w:type="dxa"/>
            <w:tcMar>
              <w:top w:w="0" w:type="dxa"/>
              <w:bottom w:w="0" w:type="dxa"/>
            </w:tcMar>
            <w:vAlign w:val="center"/>
          </w:tcPr>
          <w:p w14:paraId="3FD5BE6F" w14:textId="77777777" w:rsidR="00300EF3" w:rsidRDefault="00E42C6C">
            <w:pPr>
              <w:keepNext/>
              <w:keepLines/>
              <w:spacing w:after="0" w:line="240" w:lineRule="auto"/>
              <w:jc w:val="right"/>
            </w:pPr>
            <w:r>
              <w:rPr>
                <w:sz w:val="18"/>
              </w:rPr>
              <w:t>2.626.053,67</w:t>
            </w:r>
          </w:p>
        </w:tc>
        <w:tc>
          <w:tcPr>
            <w:tcW w:w="700" w:type="dxa"/>
            <w:tcMar>
              <w:top w:w="0" w:type="dxa"/>
              <w:bottom w:w="0" w:type="dxa"/>
            </w:tcMar>
            <w:vAlign w:val="center"/>
          </w:tcPr>
          <w:p w14:paraId="05F78B62" w14:textId="77777777" w:rsidR="00300EF3" w:rsidRDefault="00E42C6C">
            <w:pPr>
              <w:keepNext/>
              <w:keepLines/>
              <w:spacing w:after="0" w:line="240" w:lineRule="auto"/>
              <w:jc w:val="right"/>
            </w:pPr>
            <w:r>
              <w:rPr>
                <w:sz w:val="18"/>
              </w:rPr>
              <w:t>107,9</w:t>
            </w:r>
          </w:p>
        </w:tc>
      </w:tr>
    </w:tbl>
    <w:p w14:paraId="2B6DA267" w14:textId="77777777" w:rsidR="00300EF3" w:rsidRDefault="00300EF3">
      <w:pPr>
        <w:spacing w:after="0"/>
      </w:pPr>
    </w:p>
    <w:p w14:paraId="27FC1F5D" w14:textId="77777777" w:rsidR="00300EF3" w:rsidRDefault="00E42C6C">
      <w:pPr>
        <w:jc w:val="both"/>
      </w:pPr>
      <w:r>
        <w:t>Obračunati prihodi poslovanja – nenaplaćeni odnose se na nenaplaćene prihode za pružene usluge, za dodatne timove hitne medicine i na prihode od HZZO-a. Ova pozicija iznosi 2.626.053,67 € i veća je za 7,9 % jer su veća potraživanja od HZZO-a zbog porasta glavarine (vrijednosti timova hitne medicine i sanitetskog prijevoza) i zbog sporije dinamike doznake sredstava za pružene usluge, te zbog većih potraživanja od neosiguranih osoba (stranci).      </w:t>
      </w:r>
    </w:p>
    <w:p w14:paraId="0E4BF360" w14:textId="77777777" w:rsidR="00300EF3" w:rsidRDefault="00300EF3"/>
    <w:p w14:paraId="12C47362" w14:textId="77777777" w:rsidR="00300EF3" w:rsidRDefault="00E42C6C">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47DB33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8B3159"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F0E665"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C379F9"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2B11A8"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514FD1"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6FF373" w14:textId="77777777" w:rsidR="00300EF3" w:rsidRDefault="00E42C6C">
            <w:pPr>
              <w:keepNext/>
              <w:keepLines/>
              <w:spacing w:after="0" w:line="240" w:lineRule="auto"/>
              <w:jc w:val="center"/>
            </w:pPr>
            <w:r>
              <w:rPr>
                <w:b/>
                <w:sz w:val="18"/>
              </w:rPr>
              <w:t>Indeks (%)</w:t>
            </w:r>
          </w:p>
        </w:tc>
      </w:tr>
      <w:tr w:rsidR="00300EF3" w14:paraId="68A9DDC2" w14:textId="77777777">
        <w:tblPrEx>
          <w:tblCellMar>
            <w:top w:w="0" w:type="dxa"/>
            <w:bottom w:w="0" w:type="dxa"/>
          </w:tblCellMar>
        </w:tblPrEx>
        <w:trPr>
          <w:cantSplit/>
          <w:trHeight w:val="560"/>
        </w:trPr>
        <w:tc>
          <w:tcPr>
            <w:tcW w:w="700" w:type="dxa"/>
            <w:tcMar>
              <w:top w:w="0" w:type="dxa"/>
              <w:bottom w:w="0" w:type="dxa"/>
            </w:tcMar>
            <w:vAlign w:val="center"/>
          </w:tcPr>
          <w:p w14:paraId="3F475296" w14:textId="77777777" w:rsidR="00300EF3" w:rsidRDefault="00E42C6C">
            <w:pPr>
              <w:keepNext/>
              <w:keepLines/>
              <w:spacing w:after="0" w:line="240" w:lineRule="auto"/>
            </w:pPr>
            <w:r>
              <w:rPr>
                <w:sz w:val="18"/>
              </w:rPr>
              <w:t>721</w:t>
            </w:r>
          </w:p>
        </w:tc>
        <w:tc>
          <w:tcPr>
            <w:tcW w:w="3180" w:type="dxa"/>
            <w:tcMar>
              <w:top w:w="0" w:type="dxa"/>
              <w:bottom w:w="0" w:type="dxa"/>
            </w:tcMar>
            <w:vAlign w:val="center"/>
          </w:tcPr>
          <w:p w14:paraId="2E382D65" w14:textId="77777777" w:rsidR="00300EF3" w:rsidRDefault="00E42C6C">
            <w:pPr>
              <w:keepNext/>
              <w:keepLines/>
              <w:spacing w:after="0" w:line="240" w:lineRule="auto"/>
            </w:pPr>
            <w:r>
              <w:rPr>
                <w:sz w:val="18"/>
              </w:rPr>
              <w:t>Prihodi od prodaje građevinskih objekata (šifre 7211 do 7214)</w:t>
            </w:r>
          </w:p>
        </w:tc>
        <w:tc>
          <w:tcPr>
            <w:tcW w:w="700" w:type="dxa"/>
            <w:tcMar>
              <w:top w:w="0" w:type="dxa"/>
              <w:bottom w:w="0" w:type="dxa"/>
            </w:tcMar>
            <w:vAlign w:val="center"/>
          </w:tcPr>
          <w:p w14:paraId="3C323A8F" w14:textId="77777777" w:rsidR="00300EF3" w:rsidRDefault="00E42C6C">
            <w:pPr>
              <w:keepNext/>
              <w:keepLines/>
              <w:spacing w:after="0" w:line="240" w:lineRule="auto"/>
            </w:pPr>
            <w:r>
              <w:rPr>
                <w:sz w:val="18"/>
              </w:rPr>
              <w:t>721</w:t>
            </w:r>
          </w:p>
        </w:tc>
        <w:tc>
          <w:tcPr>
            <w:tcW w:w="1860" w:type="dxa"/>
            <w:tcMar>
              <w:top w:w="0" w:type="dxa"/>
              <w:bottom w:w="0" w:type="dxa"/>
            </w:tcMar>
            <w:vAlign w:val="center"/>
          </w:tcPr>
          <w:p w14:paraId="6DFD42A2" w14:textId="77777777" w:rsidR="00300EF3" w:rsidRDefault="00E42C6C">
            <w:pPr>
              <w:keepNext/>
              <w:keepLines/>
              <w:spacing w:after="0" w:line="240" w:lineRule="auto"/>
              <w:jc w:val="right"/>
            </w:pPr>
            <w:r>
              <w:rPr>
                <w:sz w:val="18"/>
              </w:rPr>
              <w:t>252,03</w:t>
            </w:r>
          </w:p>
        </w:tc>
        <w:tc>
          <w:tcPr>
            <w:tcW w:w="1860" w:type="dxa"/>
            <w:tcMar>
              <w:top w:w="0" w:type="dxa"/>
              <w:bottom w:w="0" w:type="dxa"/>
            </w:tcMar>
            <w:vAlign w:val="center"/>
          </w:tcPr>
          <w:p w14:paraId="27F23405" w14:textId="77777777" w:rsidR="00300EF3" w:rsidRDefault="00E42C6C">
            <w:pPr>
              <w:keepNext/>
              <w:keepLines/>
              <w:spacing w:after="0" w:line="240" w:lineRule="auto"/>
              <w:jc w:val="right"/>
            </w:pPr>
            <w:r>
              <w:rPr>
                <w:sz w:val="18"/>
              </w:rPr>
              <w:t>4,88</w:t>
            </w:r>
          </w:p>
        </w:tc>
        <w:tc>
          <w:tcPr>
            <w:tcW w:w="700" w:type="dxa"/>
            <w:tcMar>
              <w:top w:w="0" w:type="dxa"/>
              <w:bottom w:w="0" w:type="dxa"/>
            </w:tcMar>
            <w:vAlign w:val="center"/>
          </w:tcPr>
          <w:p w14:paraId="11C25E57" w14:textId="77777777" w:rsidR="00300EF3" w:rsidRDefault="00E42C6C">
            <w:pPr>
              <w:keepNext/>
              <w:keepLines/>
              <w:spacing w:after="0" w:line="240" w:lineRule="auto"/>
              <w:jc w:val="right"/>
            </w:pPr>
            <w:r>
              <w:rPr>
                <w:sz w:val="18"/>
              </w:rPr>
              <w:t>1,9</w:t>
            </w:r>
          </w:p>
        </w:tc>
      </w:tr>
    </w:tbl>
    <w:p w14:paraId="57AD577B" w14:textId="77777777" w:rsidR="00300EF3" w:rsidRDefault="00300EF3">
      <w:pPr>
        <w:spacing w:after="0"/>
      </w:pPr>
    </w:p>
    <w:p w14:paraId="3001FB20" w14:textId="77777777" w:rsidR="00300EF3" w:rsidRDefault="00E42C6C">
      <w:pPr>
        <w:jc w:val="both"/>
      </w:pPr>
      <w:r>
        <w:t>Prihodi od prodaje građevinskih objekata odnose se na prihod od otkupa stanova. Ova pozicija u 2025.g. iznosi 4,88 € što je manje u odnosu na prethodnu godinu jer su zadnja dva stana otplaćena u cijelosti početkom 2025.g.</w:t>
      </w:r>
    </w:p>
    <w:p w14:paraId="570BD49D" w14:textId="77777777" w:rsidR="00300EF3" w:rsidRDefault="00300EF3"/>
    <w:p w14:paraId="7BE86AA4" w14:textId="77777777" w:rsidR="00300EF3" w:rsidRDefault="00E42C6C">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3B948B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500D17"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12FA69"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1D3375"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4BFAE1"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E45616"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C78DB8" w14:textId="77777777" w:rsidR="00300EF3" w:rsidRDefault="00E42C6C">
            <w:pPr>
              <w:keepNext/>
              <w:keepLines/>
              <w:spacing w:after="0" w:line="240" w:lineRule="auto"/>
              <w:jc w:val="center"/>
            </w:pPr>
            <w:r>
              <w:rPr>
                <w:b/>
                <w:sz w:val="18"/>
              </w:rPr>
              <w:t>Indeks (%)</w:t>
            </w:r>
          </w:p>
        </w:tc>
      </w:tr>
      <w:tr w:rsidR="00300EF3" w14:paraId="0BF8D242" w14:textId="77777777">
        <w:tblPrEx>
          <w:tblCellMar>
            <w:top w:w="0" w:type="dxa"/>
            <w:bottom w:w="0" w:type="dxa"/>
          </w:tblCellMar>
        </w:tblPrEx>
        <w:trPr>
          <w:cantSplit/>
          <w:trHeight w:val="560"/>
        </w:trPr>
        <w:tc>
          <w:tcPr>
            <w:tcW w:w="700" w:type="dxa"/>
            <w:tcMar>
              <w:top w:w="0" w:type="dxa"/>
              <w:bottom w:w="0" w:type="dxa"/>
            </w:tcMar>
            <w:vAlign w:val="center"/>
          </w:tcPr>
          <w:p w14:paraId="4CC828BC" w14:textId="77777777" w:rsidR="00300EF3" w:rsidRDefault="00E42C6C">
            <w:pPr>
              <w:keepNext/>
              <w:keepLines/>
              <w:spacing w:after="0" w:line="240" w:lineRule="auto"/>
            </w:pPr>
            <w:r>
              <w:rPr>
                <w:sz w:val="18"/>
              </w:rPr>
              <w:t>723</w:t>
            </w:r>
          </w:p>
        </w:tc>
        <w:tc>
          <w:tcPr>
            <w:tcW w:w="3180" w:type="dxa"/>
            <w:tcMar>
              <w:top w:w="0" w:type="dxa"/>
              <w:bottom w:w="0" w:type="dxa"/>
            </w:tcMar>
            <w:vAlign w:val="center"/>
          </w:tcPr>
          <w:p w14:paraId="35CF8BE4" w14:textId="77777777" w:rsidR="00300EF3" w:rsidRDefault="00E42C6C">
            <w:pPr>
              <w:keepNext/>
              <w:keepLines/>
              <w:spacing w:after="0" w:line="240" w:lineRule="auto"/>
            </w:pPr>
            <w:r>
              <w:rPr>
                <w:sz w:val="18"/>
              </w:rPr>
              <w:t>Prihodi od prodaje prijevoznih sredstava (šifre 7231 do 7234)</w:t>
            </w:r>
          </w:p>
        </w:tc>
        <w:tc>
          <w:tcPr>
            <w:tcW w:w="700" w:type="dxa"/>
            <w:tcMar>
              <w:top w:w="0" w:type="dxa"/>
              <w:bottom w:w="0" w:type="dxa"/>
            </w:tcMar>
            <w:vAlign w:val="center"/>
          </w:tcPr>
          <w:p w14:paraId="76366A43" w14:textId="77777777" w:rsidR="00300EF3" w:rsidRDefault="00E42C6C">
            <w:pPr>
              <w:keepNext/>
              <w:keepLines/>
              <w:spacing w:after="0" w:line="240" w:lineRule="auto"/>
            </w:pPr>
            <w:r>
              <w:rPr>
                <w:sz w:val="18"/>
              </w:rPr>
              <w:t>723</w:t>
            </w:r>
          </w:p>
        </w:tc>
        <w:tc>
          <w:tcPr>
            <w:tcW w:w="1860" w:type="dxa"/>
            <w:tcMar>
              <w:top w:w="0" w:type="dxa"/>
              <w:bottom w:w="0" w:type="dxa"/>
            </w:tcMar>
            <w:vAlign w:val="center"/>
          </w:tcPr>
          <w:p w14:paraId="209794A3" w14:textId="77777777" w:rsidR="00300EF3" w:rsidRDefault="00E42C6C">
            <w:pPr>
              <w:keepNext/>
              <w:keepLines/>
              <w:spacing w:after="0" w:line="240" w:lineRule="auto"/>
              <w:jc w:val="right"/>
            </w:pPr>
            <w:r>
              <w:rPr>
                <w:sz w:val="18"/>
              </w:rPr>
              <w:t>3.288,88</w:t>
            </w:r>
          </w:p>
        </w:tc>
        <w:tc>
          <w:tcPr>
            <w:tcW w:w="1860" w:type="dxa"/>
            <w:tcMar>
              <w:top w:w="0" w:type="dxa"/>
              <w:bottom w:w="0" w:type="dxa"/>
            </w:tcMar>
            <w:vAlign w:val="center"/>
          </w:tcPr>
          <w:p w14:paraId="722DF446" w14:textId="77777777" w:rsidR="00300EF3" w:rsidRDefault="00E42C6C">
            <w:pPr>
              <w:keepNext/>
              <w:keepLines/>
              <w:spacing w:after="0" w:line="240" w:lineRule="auto"/>
              <w:jc w:val="right"/>
            </w:pPr>
            <w:r>
              <w:rPr>
                <w:sz w:val="18"/>
              </w:rPr>
              <w:t>7.126,50</w:t>
            </w:r>
          </w:p>
        </w:tc>
        <w:tc>
          <w:tcPr>
            <w:tcW w:w="700" w:type="dxa"/>
            <w:tcMar>
              <w:top w:w="0" w:type="dxa"/>
              <w:bottom w:w="0" w:type="dxa"/>
            </w:tcMar>
            <w:vAlign w:val="center"/>
          </w:tcPr>
          <w:p w14:paraId="68011112" w14:textId="77777777" w:rsidR="00300EF3" w:rsidRDefault="00E42C6C">
            <w:pPr>
              <w:keepNext/>
              <w:keepLines/>
              <w:spacing w:after="0" w:line="240" w:lineRule="auto"/>
              <w:jc w:val="right"/>
            </w:pPr>
            <w:r>
              <w:rPr>
                <w:sz w:val="18"/>
              </w:rPr>
              <w:t>216,7</w:t>
            </w:r>
          </w:p>
        </w:tc>
      </w:tr>
    </w:tbl>
    <w:p w14:paraId="63A6E4F9" w14:textId="77777777" w:rsidR="00300EF3" w:rsidRDefault="00300EF3">
      <w:pPr>
        <w:spacing w:after="0"/>
      </w:pPr>
    </w:p>
    <w:p w14:paraId="14AB0ABD" w14:textId="77777777" w:rsidR="00300EF3" w:rsidRDefault="00E42C6C">
      <w:pPr>
        <w:jc w:val="both"/>
      </w:pPr>
      <w:r>
        <w:t>Prihodi od prodaje prijevoznih sredstava – odnose se na prihod od prodaje 11 rashodovanih vozila u iznosu od 7.126,50 €. U prethodnoj godini nije bilo ove vrste prihoda.</w:t>
      </w:r>
    </w:p>
    <w:p w14:paraId="00C7A5D1" w14:textId="77777777" w:rsidR="00300EF3" w:rsidRDefault="00300EF3"/>
    <w:p w14:paraId="0630FC66" w14:textId="77777777" w:rsidR="00300EF3" w:rsidRDefault="00E42C6C">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22F0C8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4F94BF"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0A317F"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19A1FA"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67C4EE"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FABD23"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369B4E" w14:textId="77777777" w:rsidR="00300EF3" w:rsidRDefault="00E42C6C">
            <w:pPr>
              <w:keepNext/>
              <w:keepLines/>
              <w:spacing w:after="0" w:line="240" w:lineRule="auto"/>
              <w:jc w:val="center"/>
            </w:pPr>
            <w:r>
              <w:rPr>
                <w:b/>
                <w:sz w:val="18"/>
              </w:rPr>
              <w:t>Indeks (%)</w:t>
            </w:r>
          </w:p>
        </w:tc>
      </w:tr>
      <w:tr w:rsidR="00300EF3" w14:paraId="398E370A" w14:textId="77777777">
        <w:tblPrEx>
          <w:tblCellMar>
            <w:top w:w="0" w:type="dxa"/>
            <w:bottom w:w="0" w:type="dxa"/>
          </w:tblCellMar>
        </w:tblPrEx>
        <w:trPr>
          <w:cantSplit/>
          <w:trHeight w:val="560"/>
        </w:trPr>
        <w:tc>
          <w:tcPr>
            <w:tcW w:w="700" w:type="dxa"/>
            <w:tcMar>
              <w:top w:w="0" w:type="dxa"/>
              <w:bottom w:w="0" w:type="dxa"/>
            </w:tcMar>
            <w:vAlign w:val="center"/>
          </w:tcPr>
          <w:p w14:paraId="0A403230" w14:textId="77777777" w:rsidR="00300EF3" w:rsidRDefault="00E42C6C">
            <w:pPr>
              <w:keepNext/>
              <w:keepLines/>
              <w:spacing w:after="0" w:line="240" w:lineRule="auto"/>
            </w:pPr>
            <w:r>
              <w:rPr>
                <w:sz w:val="18"/>
              </w:rPr>
              <w:t>4</w:t>
            </w:r>
          </w:p>
        </w:tc>
        <w:tc>
          <w:tcPr>
            <w:tcW w:w="3180" w:type="dxa"/>
            <w:tcMar>
              <w:top w:w="0" w:type="dxa"/>
              <w:bottom w:w="0" w:type="dxa"/>
            </w:tcMar>
            <w:vAlign w:val="center"/>
          </w:tcPr>
          <w:p w14:paraId="5BD203DC" w14:textId="77777777" w:rsidR="00300EF3" w:rsidRDefault="00E42C6C">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2EAFBC2" w14:textId="77777777" w:rsidR="00300EF3" w:rsidRDefault="00E42C6C">
            <w:pPr>
              <w:keepNext/>
              <w:keepLines/>
              <w:spacing w:after="0" w:line="240" w:lineRule="auto"/>
            </w:pPr>
            <w:r>
              <w:rPr>
                <w:sz w:val="18"/>
              </w:rPr>
              <w:t>4</w:t>
            </w:r>
          </w:p>
        </w:tc>
        <w:tc>
          <w:tcPr>
            <w:tcW w:w="1860" w:type="dxa"/>
            <w:tcMar>
              <w:top w:w="0" w:type="dxa"/>
              <w:bottom w:w="0" w:type="dxa"/>
            </w:tcMar>
            <w:vAlign w:val="center"/>
          </w:tcPr>
          <w:p w14:paraId="2BC901C4" w14:textId="77777777" w:rsidR="00300EF3" w:rsidRDefault="00E42C6C">
            <w:pPr>
              <w:keepNext/>
              <w:keepLines/>
              <w:spacing w:after="0" w:line="240" w:lineRule="auto"/>
              <w:jc w:val="right"/>
            </w:pPr>
            <w:r>
              <w:rPr>
                <w:sz w:val="18"/>
              </w:rPr>
              <w:t>2.294.745,31</w:t>
            </w:r>
          </w:p>
        </w:tc>
        <w:tc>
          <w:tcPr>
            <w:tcW w:w="1860" w:type="dxa"/>
            <w:tcMar>
              <w:top w:w="0" w:type="dxa"/>
              <w:bottom w:w="0" w:type="dxa"/>
            </w:tcMar>
            <w:vAlign w:val="center"/>
          </w:tcPr>
          <w:p w14:paraId="59559032" w14:textId="77777777" w:rsidR="00300EF3" w:rsidRDefault="00E42C6C">
            <w:pPr>
              <w:keepNext/>
              <w:keepLines/>
              <w:spacing w:after="0" w:line="240" w:lineRule="auto"/>
              <w:jc w:val="right"/>
            </w:pPr>
            <w:r>
              <w:rPr>
                <w:sz w:val="18"/>
              </w:rPr>
              <w:t>2.172.059,48</w:t>
            </w:r>
          </w:p>
        </w:tc>
        <w:tc>
          <w:tcPr>
            <w:tcW w:w="700" w:type="dxa"/>
            <w:tcMar>
              <w:top w:w="0" w:type="dxa"/>
              <w:bottom w:w="0" w:type="dxa"/>
            </w:tcMar>
            <w:vAlign w:val="center"/>
          </w:tcPr>
          <w:p w14:paraId="4289BFC1" w14:textId="77777777" w:rsidR="00300EF3" w:rsidRDefault="00E42C6C">
            <w:pPr>
              <w:keepNext/>
              <w:keepLines/>
              <w:spacing w:after="0" w:line="240" w:lineRule="auto"/>
              <w:jc w:val="right"/>
            </w:pPr>
            <w:r>
              <w:rPr>
                <w:sz w:val="18"/>
              </w:rPr>
              <w:t>94,7</w:t>
            </w:r>
          </w:p>
        </w:tc>
      </w:tr>
    </w:tbl>
    <w:p w14:paraId="1FE25200" w14:textId="77777777" w:rsidR="00300EF3" w:rsidRDefault="00300EF3">
      <w:pPr>
        <w:spacing w:after="0"/>
      </w:pPr>
    </w:p>
    <w:p w14:paraId="48709BE5" w14:textId="77777777" w:rsidR="00300EF3" w:rsidRDefault="00E42C6C">
      <w:pPr>
        <w:jc w:val="both"/>
      </w:pPr>
      <w:r>
        <w:t>Rashodi za nabavu nefinancijske imovine iznose 2.172.059,48 € što je manje u odnosu na prethodnu godinu za 5,3 % prvenstveno zbog manjeg broja nabavljenih vozila za izvanbolničku hitnu medicinu u 2025.g.</w:t>
      </w:r>
    </w:p>
    <w:p w14:paraId="23198E7D" w14:textId="77777777" w:rsidR="00300EF3" w:rsidRDefault="00E42C6C">
      <w:pPr>
        <w:jc w:val="both"/>
      </w:pPr>
      <w:r>
        <w:t>Istovremeno, povećani su rashodi za nabavu računalne, komunikacijske i medicinske opreme zbog potrebe usklađivanja opremljenosti timova hitne medicine i sanitetskog prijevoza sukladno novim standardima, te ulaganje u adaptaciju ispostave hitne medicine u Vrgorcu zbog dotrajalosti objekta.</w:t>
      </w:r>
    </w:p>
    <w:p w14:paraId="267C1346" w14:textId="77777777" w:rsidR="00300EF3" w:rsidRDefault="00300EF3"/>
    <w:p w14:paraId="00FC314F" w14:textId="77777777" w:rsidR="00300EF3" w:rsidRDefault="00E42C6C">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31E16F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FC651C"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BFD2F8"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0D3355"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772968"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7C5957"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7C4149" w14:textId="77777777" w:rsidR="00300EF3" w:rsidRDefault="00E42C6C">
            <w:pPr>
              <w:keepNext/>
              <w:keepLines/>
              <w:spacing w:after="0" w:line="240" w:lineRule="auto"/>
              <w:jc w:val="center"/>
            </w:pPr>
            <w:r>
              <w:rPr>
                <w:b/>
                <w:sz w:val="18"/>
              </w:rPr>
              <w:t>Indeks (%)</w:t>
            </w:r>
          </w:p>
        </w:tc>
      </w:tr>
      <w:tr w:rsidR="00300EF3" w14:paraId="0F8AB078" w14:textId="77777777">
        <w:tblPrEx>
          <w:tblCellMar>
            <w:top w:w="0" w:type="dxa"/>
            <w:bottom w:w="0" w:type="dxa"/>
          </w:tblCellMar>
        </w:tblPrEx>
        <w:trPr>
          <w:cantSplit/>
          <w:trHeight w:val="560"/>
        </w:trPr>
        <w:tc>
          <w:tcPr>
            <w:tcW w:w="700" w:type="dxa"/>
            <w:tcMar>
              <w:top w:w="0" w:type="dxa"/>
              <w:bottom w:w="0" w:type="dxa"/>
            </w:tcMar>
            <w:vAlign w:val="center"/>
          </w:tcPr>
          <w:p w14:paraId="308BD77B" w14:textId="77777777" w:rsidR="00300EF3" w:rsidRDefault="00E42C6C">
            <w:pPr>
              <w:keepNext/>
              <w:keepLines/>
              <w:spacing w:after="0" w:line="240" w:lineRule="auto"/>
            </w:pPr>
            <w:r>
              <w:rPr>
                <w:sz w:val="18"/>
              </w:rPr>
              <w:t>9221-9222</w:t>
            </w:r>
          </w:p>
        </w:tc>
        <w:tc>
          <w:tcPr>
            <w:tcW w:w="3180" w:type="dxa"/>
            <w:tcMar>
              <w:top w:w="0" w:type="dxa"/>
              <w:bottom w:w="0" w:type="dxa"/>
            </w:tcMar>
            <w:vAlign w:val="center"/>
          </w:tcPr>
          <w:p w14:paraId="7FD65DC0" w14:textId="77777777" w:rsidR="00300EF3" w:rsidRDefault="00E42C6C">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14:paraId="5DD7874F" w14:textId="77777777" w:rsidR="00300EF3" w:rsidRDefault="00E42C6C">
            <w:pPr>
              <w:keepNext/>
              <w:keepLines/>
              <w:spacing w:after="0" w:line="240" w:lineRule="auto"/>
            </w:pPr>
            <w:r>
              <w:rPr>
                <w:sz w:val="18"/>
              </w:rPr>
              <w:t>9221-9222</w:t>
            </w:r>
          </w:p>
        </w:tc>
        <w:tc>
          <w:tcPr>
            <w:tcW w:w="1860" w:type="dxa"/>
            <w:tcMar>
              <w:top w:w="0" w:type="dxa"/>
              <w:bottom w:w="0" w:type="dxa"/>
            </w:tcMar>
            <w:vAlign w:val="center"/>
          </w:tcPr>
          <w:p w14:paraId="306EC594" w14:textId="77777777" w:rsidR="00300EF3" w:rsidRDefault="00E42C6C">
            <w:pPr>
              <w:keepNext/>
              <w:keepLines/>
              <w:spacing w:after="0" w:line="240" w:lineRule="auto"/>
              <w:jc w:val="right"/>
            </w:pPr>
            <w:r>
              <w:rPr>
                <w:sz w:val="18"/>
              </w:rPr>
              <w:t>395.057,11</w:t>
            </w:r>
          </w:p>
        </w:tc>
        <w:tc>
          <w:tcPr>
            <w:tcW w:w="1860" w:type="dxa"/>
            <w:tcMar>
              <w:top w:w="0" w:type="dxa"/>
              <w:bottom w:w="0" w:type="dxa"/>
            </w:tcMar>
            <w:vAlign w:val="center"/>
          </w:tcPr>
          <w:p w14:paraId="249E9D7A" w14:textId="77777777" w:rsidR="00300EF3" w:rsidRDefault="00E42C6C">
            <w:pPr>
              <w:keepNext/>
              <w:keepLines/>
              <w:spacing w:after="0" w:line="240" w:lineRule="auto"/>
              <w:jc w:val="right"/>
            </w:pPr>
            <w:r>
              <w:rPr>
                <w:sz w:val="18"/>
              </w:rPr>
              <w:t>1.217.024,61</w:t>
            </w:r>
          </w:p>
        </w:tc>
        <w:tc>
          <w:tcPr>
            <w:tcW w:w="700" w:type="dxa"/>
            <w:tcMar>
              <w:top w:w="0" w:type="dxa"/>
              <w:bottom w:w="0" w:type="dxa"/>
            </w:tcMar>
            <w:vAlign w:val="center"/>
          </w:tcPr>
          <w:p w14:paraId="740C1B92" w14:textId="77777777" w:rsidR="00300EF3" w:rsidRDefault="00E42C6C">
            <w:pPr>
              <w:keepNext/>
              <w:keepLines/>
              <w:spacing w:after="0" w:line="240" w:lineRule="auto"/>
              <w:jc w:val="right"/>
            </w:pPr>
            <w:r>
              <w:rPr>
                <w:sz w:val="18"/>
              </w:rPr>
              <w:t>308,1</w:t>
            </w:r>
          </w:p>
        </w:tc>
      </w:tr>
    </w:tbl>
    <w:p w14:paraId="56A0ABF5" w14:textId="77777777" w:rsidR="00300EF3" w:rsidRDefault="00300EF3">
      <w:pPr>
        <w:spacing w:after="0"/>
      </w:pPr>
    </w:p>
    <w:p w14:paraId="6CF1B0F7" w14:textId="77777777" w:rsidR="00300EF3" w:rsidRDefault="00E42C6C">
      <w:pPr>
        <w:jc w:val="both"/>
      </w:pPr>
      <w:r>
        <w:t>Višak prihoda poslovanja  – preneseni i Manjak prihoda od nefinancijske imovine – preneseni su promijenjeni u odnosu na stanje od 31. prosinca 2025.g. jer su sukladno odluci o raspodijeli rezultata izvršena knjiženja. Manjak prihoda od nefinancijske imovine u iznosu od 62.695,27 € pokriven je viškom prihoda od redovnog poslovanja pa je odobren manjak prihoda od nefinancijske imovine na računu 92222 za iznos 62.695,27 €, a zadužen višak prihoda poslovanja na računu 92211 za isti iznos. Također, iznosu od 1.1</w:t>
      </w:r>
      <w:r>
        <w:t>90.967,75 € sa viška prihoda od redovnog poslovanja prenesen je na višak prihoda od nefinancijske imovine za realizacije planiranih nabava u 2025.g. (zadužen račun 92211, a odobren račun 92212).</w:t>
      </w:r>
    </w:p>
    <w:p w14:paraId="0F1EE134" w14:textId="77777777" w:rsidR="00300EF3" w:rsidRDefault="00300EF3"/>
    <w:p w14:paraId="2EB249E7" w14:textId="77777777" w:rsidR="00300EF3" w:rsidRDefault="00E42C6C">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4DC2193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C9FDBC"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17CE78"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589BC6"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5CCE06"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58A6E1"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06D265" w14:textId="77777777" w:rsidR="00300EF3" w:rsidRDefault="00E42C6C">
            <w:pPr>
              <w:keepNext/>
              <w:keepLines/>
              <w:spacing w:after="0" w:line="240" w:lineRule="auto"/>
              <w:jc w:val="center"/>
            </w:pPr>
            <w:r>
              <w:rPr>
                <w:b/>
                <w:sz w:val="18"/>
              </w:rPr>
              <w:t>Indeks (%)</w:t>
            </w:r>
          </w:p>
        </w:tc>
      </w:tr>
      <w:tr w:rsidR="00300EF3" w14:paraId="59EA5407" w14:textId="77777777">
        <w:tblPrEx>
          <w:tblCellMar>
            <w:top w:w="0" w:type="dxa"/>
            <w:bottom w:w="0" w:type="dxa"/>
          </w:tblCellMar>
        </w:tblPrEx>
        <w:trPr>
          <w:cantSplit/>
          <w:trHeight w:val="560"/>
        </w:trPr>
        <w:tc>
          <w:tcPr>
            <w:tcW w:w="700" w:type="dxa"/>
            <w:tcMar>
              <w:top w:w="0" w:type="dxa"/>
              <w:bottom w:w="0" w:type="dxa"/>
            </w:tcMar>
            <w:vAlign w:val="center"/>
          </w:tcPr>
          <w:p w14:paraId="2A4D8F52" w14:textId="77777777" w:rsidR="00300EF3" w:rsidRDefault="00300EF3">
            <w:pPr>
              <w:keepNext/>
              <w:keepLines/>
              <w:spacing w:after="0" w:line="240" w:lineRule="auto"/>
            </w:pPr>
          </w:p>
        </w:tc>
        <w:tc>
          <w:tcPr>
            <w:tcW w:w="3180" w:type="dxa"/>
            <w:tcMar>
              <w:top w:w="0" w:type="dxa"/>
              <w:bottom w:w="0" w:type="dxa"/>
            </w:tcMar>
            <w:vAlign w:val="center"/>
          </w:tcPr>
          <w:p w14:paraId="7C8015CD" w14:textId="77777777" w:rsidR="00300EF3" w:rsidRDefault="00E42C6C">
            <w:pPr>
              <w:keepNext/>
              <w:keepLines/>
              <w:spacing w:after="0" w:line="240" w:lineRule="auto"/>
            </w:pPr>
            <w:r>
              <w:rPr>
                <w:sz w:val="18"/>
              </w:rPr>
              <w:t>Prosječan broj zaposlenih kod korisnika na osnovi sati rada (cijeli broj)</w:t>
            </w:r>
          </w:p>
        </w:tc>
        <w:tc>
          <w:tcPr>
            <w:tcW w:w="700" w:type="dxa"/>
            <w:tcMar>
              <w:top w:w="0" w:type="dxa"/>
              <w:bottom w:w="0" w:type="dxa"/>
            </w:tcMar>
            <w:vAlign w:val="center"/>
          </w:tcPr>
          <w:p w14:paraId="58D15195" w14:textId="77777777" w:rsidR="00300EF3" w:rsidRDefault="00E42C6C">
            <w:pPr>
              <w:keepNext/>
              <w:keepLines/>
              <w:spacing w:after="0" w:line="240" w:lineRule="auto"/>
            </w:pPr>
            <w:r>
              <w:rPr>
                <w:sz w:val="18"/>
              </w:rPr>
              <w:t>Z009</w:t>
            </w:r>
          </w:p>
        </w:tc>
        <w:tc>
          <w:tcPr>
            <w:tcW w:w="1860" w:type="dxa"/>
            <w:tcMar>
              <w:top w:w="0" w:type="dxa"/>
              <w:bottom w:w="0" w:type="dxa"/>
            </w:tcMar>
            <w:vAlign w:val="center"/>
          </w:tcPr>
          <w:p w14:paraId="7133A18F" w14:textId="77777777" w:rsidR="00300EF3" w:rsidRDefault="00E42C6C">
            <w:pPr>
              <w:keepNext/>
              <w:keepLines/>
              <w:spacing w:after="0" w:line="240" w:lineRule="auto"/>
              <w:jc w:val="right"/>
            </w:pPr>
            <w:r>
              <w:rPr>
                <w:sz w:val="18"/>
              </w:rPr>
              <w:t>574,00</w:t>
            </w:r>
          </w:p>
        </w:tc>
        <w:tc>
          <w:tcPr>
            <w:tcW w:w="1860" w:type="dxa"/>
            <w:tcMar>
              <w:top w:w="0" w:type="dxa"/>
              <w:bottom w:w="0" w:type="dxa"/>
            </w:tcMar>
            <w:vAlign w:val="center"/>
          </w:tcPr>
          <w:p w14:paraId="64C9E262" w14:textId="77777777" w:rsidR="00300EF3" w:rsidRDefault="00E42C6C">
            <w:pPr>
              <w:keepNext/>
              <w:keepLines/>
              <w:spacing w:after="0" w:line="240" w:lineRule="auto"/>
              <w:jc w:val="right"/>
            </w:pPr>
            <w:r>
              <w:rPr>
                <w:sz w:val="18"/>
              </w:rPr>
              <w:t>600,00</w:t>
            </w:r>
          </w:p>
        </w:tc>
        <w:tc>
          <w:tcPr>
            <w:tcW w:w="700" w:type="dxa"/>
            <w:tcMar>
              <w:top w:w="0" w:type="dxa"/>
              <w:bottom w:w="0" w:type="dxa"/>
            </w:tcMar>
            <w:vAlign w:val="center"/>
          </w:tcPr>
          <w:p w14:paraId="2FFEB81F" w14:textId="77777777" w:rsidR="00300EF3" w:rsidRDefault="00E42C6C">
            <w:pPr>
              <w:keepNext/>
              <w:keepLines/>
              <w:spacing w:after="0" w:line="240" w:lineRule="auto"/>
              <w:jc w:val="right"/>
            </w:pPr>
            <w:r>
              <w:rPr>
                <w:sz w:val="18"/>
              </w:rPr>
              <w:t>104,5</w:t>
            </w:r>
          </w:p>
        </w:tc>
      </w:tr>
    </w:tbl>
    <w:p w14:paraId="0DA6776C" w14:textId="77777777" w:rsidR="00300EF3" w:rsidRDefault="00300EF3">
      <w:pPr>
        <w:spacing w:after="0"/>
      </w:pPr>
    </w:p>
    <w:p w14:paraId="46402CC5" w14:textId="77777777" w:rsidR="00300EF3" w:rsidRDefault="00E42C6C">
      <w:pPr>
        <w:jc w:val="both"/>
      </w:pPr>
      <w:r>
        <w:t xml:space="preserve">Broj zaposlenika na temelju ukalkuliranih sati rada u promatranom razdoblju 2025.g. veći je za 4,5 % odnosno za 26 zaposlenika u odnosu na prethodnu godinu. Razlog povećanja je usklađenje Zavoda s novom Mrežom prema kojoj su uvedeni novi timovi hitne medicine i sanitetskog prijevoza, te u potrebi zamjene medicinskih tehničara prvostupnika i doktorica medicine na specijalističkom usavršavanju iz hitne medicine kao i većem broju prekovremenih sati (zbog zaposlenika na bolovanju i nedostatku stručnog kadra na </w:t>
      </w:r>
      <w:r>
        <w:t>tržištu rada).</w:t>
      </w:r>
    </w:p>
    <w:p w14:paraId="270266CC" w14:textId="77777777" w:rsidR="00300EF3" w:rsidRDefault="00300EF3"/>
    <w:p w14:paraId="222E62CC" w14:textId="77777777" w:rsidR="00300EF3" w:rsidRDefault="00E42C6C">
      <w:pPr>
        <w:keepNext/>
        <w:spacing w:line="240" w:lineRule="auto"/>
        <w:jc w:val="center"/>
      </w:pPr>
      <w:r>
        <w:rPr>
          <w:b/>
          <w:sz w:val="28"/>
        </w:rPr>
        <w:t>Bilanca</w:t>
      </w:r>
    </w:p>
    <w:p w14:paraId="6890F8E9" w14:textId="77777777" w:rsidR="00300EF3" w:rsidRDefault="00E42C6C">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0E841E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A9E374"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87A6B1"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12AE11"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AC8CE1" w14:textId="77777777" w:rsidR="00300EF3" w:rsidRDefault="00E42C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4A57140" w14:textId="77777777" w:rsidR="00300EF3" w:rsidRDefault="00E42C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9F6721A" w14:textId="77777777" w:rsidR="00300EF3" w:rsidRDefault="00E42C6C">
            <w:pPr>
              <w:keepNext/>
              <w:keepLines/>
              <w:spacing w:after="0" w:line="240" w:lineRule="auto"/>
              <w:jc w:val="center"/>
            </w:pPr>
            <w:r>
              <w:rPr>
                <w:b/>
                <w:sz w:val="18"/>
              </w:rPr>
              <w:t>Indeks (%)</w:t>
            </w:r>
          </w:p>
        </w:tc>
      </w:tr>
      <w:tr w:rsidR="00300EF3" w14:paraId="531C1562" w14:textId="77777777">
        <w:tblPrEx>
          <w:tblCellMar>
            <w:top w:w="0" w:type="dxa"/>
            <w:bottom w:w="0" w:type="dxa"/>
          </w:tblCellMar>
        </w:tblPrEx>
        <w:trPr>
          <w:cantSplit/>
          <w:trHeight w:val="560"/>
        </w:trPr>
        <w:tc>
          <w:tcPr>
            <w:tcW w:w="700" w:type="dxa"/>
            <w:tcMar>
              <w:top w:w="0" w:type="dxa"/>
              <w:bottom w:w="0" w:type="dxa"/>
            </w:tcMar>
            <w:vAlign w:val="center"/>
          </w:tcPr>
          <w:p w14:paraId="7D9B596C" w14:textId="77777777" w:rsidR="00300EF3" w:rsidRDefault="00300EF3">
            <w:pPr>
              <w:keepNext/>
              <w:keepLines/>
              <w:spacing w:after="0" w:line="240" w:lineRule="auto"/>
            </w:pPr>
          </w:p>
        </w:tc>
        <w:tc>
          <w:tcPr>
            <w:tcW w:w="3180" w:type="dxa"/>
            <w:tcMar>
              <w:top w:w="0" w:type="dxa"/>
              <w:bottom w:w="0" w:type="dxa"/>
            </w:tcMar>
            <w:vAlign w:val="center"/>
          </w:tcPr>
          <w:p w14:paraId="4BC2899B" w14:textId="77777777" w:rsidR="00300EF3" w:rsidRDefault="00E42C6C">
            <w:pPr>
              <w:keepNext/>
              <w:keepLines/>
              <w:spacing w:after="0" w:line="240" w:lineRule="auto"/>
            </w:pPr>
            <w:r>
              <w:rPr>
                <w:sz w:val="18"/>
              </w:rPr>
              <w:t>IMOVINA (šifre B002+1)</w:t>
            </w:r>
          </w:p>
        </w:tc>
        <w:tc>
          <w:tcPr>
            <w:tcW w:w="700" w:type="dxa"/>
            <w:tcMar>
              <w:top w:w="0" w:type="dxa"/>
              <w:bottom w:w="0" w:type="dxa"/>
            </w:tcMar>
            <w:vAlign w:val="center"/>
          </w:tcPr>
          <w:p w14:paraId="0125E571" w14:textId="77777777" w:rsidR="00300EF3" w:rsidRDefault="00E42C6C">
            <w:pPr>
              <w:keepNext/>
              <w:keepLines/>
              <w:spacing w:after="0" w:line="240" w:lineRule="auto"/>
            </w:pPr>
            <w:r>
              <w:rPr>
                <w:sz w:val="18"/>
              </w:rPr>
              <w:t>B001</w:t>
            </w:r>
          </w:p>
        </w:tc>
        <w:tc>
          <w:tcPr>
            <w:tcW w:w="1860" w:type="dxa"/>
            <w:tcMar>
              <w:top w:w="0" w:type="dxa"/>
              <w:bottom w:w="0" w:type="dxa"/>
            </w:tcMar>
            <w:vAlign w:val="center"/>
          </w:tcPr>
          <w:p w14:paraId="25DFC345" w14:textId="77777777" w:rsidR="00300EF3" w:rsidRDefault="00E42C6C">
            <w:pPr>
              <w:keepNext/>
              <w:keepLines/>
              <w:spacing w:after="0" w:line="240" w:lineRule="auto"/>
              <w:jc w:val="right"/>
            </w:pPr>
            <w:r>
              <w:rPr>
                <w:sz w:val="18"/>
              </w:rPr>
              <w:t>12.099.257,05</w:t>
            </w:r>
          </w:p>
        </w:tc>
        <w:tc>
          <w:tcPr>
            <w:tcW w:w="1860" w:type="dxa"/>
            <w:tcMar>
              <w:top w:w="0" w:type="dxa"/>
              <w:bottom w:w="0" w:type="dxa"/>
            </w:tcMar>
            <w:vAlign w:val="center"/>
          </w:tcPr>
          <w:p w14:paraId="1452EFC8" w14:textId="77777777" w:rsidR="00300EF3" w:rsidRDefault="00E42C6C">
            <w:pPr>
              <w:keepNext/>
              <w:keepLines/>
              <w:spacing w:after="0" w:line="240" w:lineRule="auto"/>
              <w:jc w:val="right"/>
            </w:pPr>
            <w:r>
              <w:rPr>
                <w:sz w:val="18"/>
              </w:rPr>
              <w:t>15.317.221,35</w:t>
            </w:r>
          </w:p>
        </w:tc>
        <w:tc>
          <w:tcPr>
            <w:tcW w:w="700" w:type="dxa"/>
            <w:tcMar>
              <w:top w:w="0" w:type="dxa"/>
              <w:bottom w:w="0" w:type="dxa"/>
            </w:tcMar>
            <w:vAlign w:val="center"/>
          </w:tcPr>
          <w:p w14:paraId="4CC59619" w14:textId="77777777" w:rsidR="00300EF3" w:rsidRDefault="00E42C6C">
            <w:pPr>
              <w:keepNext/>
              <w:keepLines/>
              <w:spacing w:after="0" w:line="240" w:lineRule="auto"/>
              <w:jc w:val="right"/>
            </w:pPr>
            <w:r>
              <w:rPr>
                <w:sz w:val="18"/>
              </w:rPr>
              <w:t>126,6</w:t>
            </w:r>
          </w:p>
        </w:tc>
      </w:tr>
    </w:tbl>
    <w:p w14:paraId="776D4018" w14:textId="77777777" w:rsidR="00300EF3" w:rsidRDefault="00300EF3">
      <w:pPr>
        <w:spacing w:after="0"/>
      </w:pPr>
    </w:p>
    <w:p w14:paraId="3540BD59" w14:textId="77777777" w:rsidR="00300EF3" w:rsidRDefault="00E42C6C">
      <w:pPr>
        <w:jc w:val="both"/>
      </w:pPr>
      <w:r>
        <w:t>Ukupna imovina koju čine nefinancijska imovina (dugotrajna imovina, sitni inventar, auto gume, imovina u pripremi i zalihe) i financijska imovina (novac u banci i blagajni i potraživanja) veća je za 26,6 % odnosno veća je za 3.217.964,30 €. </w:t>
      </w:r>
    </w:p>
    <w:p w14:paraId="0FACD714" w14:textId="77777777" w:rsidR="00300EF3" w:rsidRDefault="00300EF3"/>
    <w:p w14:paraId="74C3C246" w14:textId="77777777" w:rsidR="00300EF3" w:rsidRDefault="00E42C6C">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138599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00F77C"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2313DB"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BDA129"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DC6B40" w14:textId="77777777" w:rsidR="00300EF3" w:rsidRDefault="00E42C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50B496C" w14:textId="77777777" w:rsidR="00300EF3" w:rsidRDefault="00E42C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D0C7F89" w14:textId="77777777" w:rsidR="00300EF3" w:rsidRDefault="00E42C6C">
            <w:pPr>
              <w:keepNext/>
              <w:keepLines/>
              <w:spacing w:after="0" w:line="240" w:lineRule="auto"/>
              <w:jc w:val="center"/>
            </w:pPr>
            <w:r>
              <w:rPr>
                <w:b/>
                <w:sz w:val="18"/>
              </w:rPr>
              <w:t>Indeks (%)</w:t>
            </w:r>
          </w:p>
        </w:tc>
      </w:tr>
      <w:tr w:rsidR="00300EF3" w14:paraId="56050198" w14:textId="77777777">
        <w:tblPrEx>
          <w:tblCellMar>
            <w:top w:w="0" w:type="dxa"/>
            <w:bottom w:w="0" w:type="dxa"/>
          </w:tblCellMar>
        </w:tblPrEx>
        <w:trPr>
          <w:cantSplit/>
          <w:trHeight w:val="560"/>
        </w:trPr>
        <w:tc>
          <w:tcPr>
            <w:tcW w:w="700" w:type="dxa"/>
            <w:tcMar>
              <w:top w:w="0" w:type="dxa"/>
              <w:bottom w:w="0" w:type="dxa"/>
            </w:tcMar>
            <w:vAlign w:val="center"/>
          </w:tcPr>
          <w:p w14:paraId="0764E202" w14:textId="77777777" w:rsidR="00300EF3" w:rsidRDefault="00E42C6C">
            <w:pPr>
              <w:keepNext/>
              <w:keepLines/>
              <w:spacing w:after="0" w:line="240" w:lineRule="auto"/>
            </w:pPr>
            <w:r>
              <w:rPr>
                <w:sz w:val="18"/>
              </w:rPr>
              <w:t>022 i 02922</w:t>
            </w:r>
          </w:p>
        </w:tc>
        <w:tc>
          <w:tcPr>
            <w:tcW w:w="3180" w:type="dxa"/>
            <w:tcMar>
              <w:top w:w="0" w:type="dxa"/>
              <w:bottom w:w="0" w:type="dxa"/>
            </w:tcMar>
            <w:vAlign w:val="center"/>
          </w:tcPr>
          <w:p w14:paraId="443F12A2" w14:textId="77777777" w:rsidR="00300EF3" w:rsidRDefault="00E42C6C">
            <w:pPr>
              <w:keepNext/>
              <w:keepLines/>
              <w:spacing w:after="0" w:line="240" w:lineRule="auto"/>
            </w:pPr>
            <w:r>
              <w:rPr>
                <w:sz w:val="18"/>
              </w:rPr>
              <w:t>Postrojenja i oprema (šifre 0221 do 0228 - 02922)</w:t>
            </w:r>
          </w:p>
        </w:tc>
        <w:tc>
          <w:tcPr>
            <w:tcW w:w="700" w:type="dxa"/>
            <w:tcMar>
              <w:top w:w="0" w:type="dxa"/>
              <w:bottom w:w="0" w:type="dxa"/>
            </w:tcMar>
            <w:vAlign w:val="center"/>
          </w:tcPr>
          <w:p w14:paraId="42BABBA0" w14:textId="77777777" w:rsidR="00300EF3" w:rsidRDefault="00E42C6C">
            <w:pPr>
              <w:keepNext/>
              <w:keepLines/>
              <w:spacing w:after="0" w:line="240" w:lineRule="auto"/>
            </w:pPr>
            <w:r>
              <w:rPr>
                <w:sz w:val="18"/>
              </w:rPr>
              <w:t>022 i 02922</w:t>
            </w:r>
          </w:p>
        </w:tc>
        <w:tc>
          <w:tcPr>
            <w:tcW w:w="1860" w:type="dxa"/>
            <w:tcMar>
              <w:top w:w="0" w:type="dxa"/>
              <w:bottom w:w="0" w:type="dxa"/>
            </w:tcMar>
            <w:vAlign w:val="center"/>
          </w:tcPr>
          <w:p w14:paraId="10BCBCC0" w14:textId="77777777" w:rsidR="00300EF3" w:rsidRDefault="00E42C6C">
            <w:pPr>
              <w:keepNext/>
              <w:keepLines/>
              <w:spacing w:after="0" w:line="240" w:lineRule="auto"/>
              <w:jc w:val="right"/>
            </w:pPr>
            <w:r>
              <w:rPr>
                <w:sz w:val="18"/>
              </w:rPr>
              <w:t>505.295,28</w:t>
            </w:r>
          </w:p>
        </w:tc>
        <w:tc>
          <w:tcPr>
            <w:tcW w:w="1860" w:type="dxa"/>
            <w:tcMar>
              <w:top w:w="0" w:type="dxa"/>
              <w:bottom w:w="0" w:type="dxa"/>
            </w:tcMar>
            <w:vAlign w:val="center"/>
          </w:tcPr>
          <w:p w14:paraId="33A1BA23" w14:textId="77777777" w:rsidR="00300EF3" w:rsidRDefault="00E42C6C">
            <w:pPr>
              <w:keepNext/>
              <w:keepLines/>
              <w:spacing w:after="0" w:line="240" w:lineRule="auto"/>
              <w:jc w:val="right"/>
            </w:pPr>
            <w:r>
              <w:rPr>
                <w:sz w:val="18"/>
              </w:rPr>
              <w:t>965.498,64</w:t>
            </w:r>
          </w:p>
        </w:tc>
        <w:tc>
          <w:tcPr>
            <w:tcW w:w="700" w:type="dxa"/>
            <w:tcMar>
              <w:top w:w="0" w:type="dxa"/>
              <w:bottom w:w="0" w:type="dxa"/>
            </w:tcMar>
            <w:vAlign w:val="center"/>
          </w:tcPr>
          <w:p w14:paraId="5E6EA6E1" w14:textId="77777777" w:rsidR="00300EF3" w:rsidRDefault="00E42C6C">
            <w:pPr>
              <w:keepNext/>
              <w:keepLines/>
              <w:spacing w:after="0" w:line="240" w:lineRule="auto"/>
              <w:jc w:val="right"/>
            </w:pPr>
            <w:r>
              <w:rPr>
                <w:sz w:val="18"/>
              </w:rPr>
              <w:t>191,1</w:t>
            </w:r>
          </w:p>
        </w:tc>
      </w:tr>
    </w:tbl>
    <w:p w14:paraId="191B07BA" w14:textId="77777777" w:rsidR="00300EF3" w:rsidRDefault="00300EF3">
      <w:pPr>
        <w:spacing w:after="0"/>
      </w:pPr>
    </w:p>
    <w:p w14:paraId="3D042670" w14:textId="77777777" w:rsidR="00300EF3" w:rsidRDefault="00E42C6C">
      <w:pPr>
        <w:jc w:val="both"/>
      </w:pPr>
      <w:r>
        <w:t>Postrojenja i oprema – sadašnja vrijednost postrojenja i opreme na kraju 2025.g. veća je za 460.203,36 € odnosno za 91,1 % u odnosu na početak godine. Za potrebe opremanja timova hitne medicine i sanitetskog prijevoza, sukladno Mreži i novom Pravilniku o standardima i normativima u pogledu prostora, radnika i medicinsko-tehničke opreme za obavljanje djelatnosti hitne medicine i djelatnosti sanitetskog prijevoza, u 2025.g. nabavljena je  medicinska oprema (respiratori, aspiratori, automatski vanjski defibril</w:t>
      </w:r>
      <w:r>
        <w:t>atori za sanitetska vozila i dr.), komunikacijska oprema (</w:t>
      </w:r>
      <w:proofErr w:type="spellStart"/>
      <w:r>
        <w:t>tetra</w:t>
      </w:r>
      <w:proofErr w:type="spellEnd"/>
      <w:r>
        <w:t xml:space="preserve"> stanice i ručne radio stanice za sanitetska vozila), računalna oprema (prijenosni tableti sa pisačem za timove hitne medicine i dispečerski sustav za medicinsku prijavno dojavnu jedinicu).</w:t>
      </w:r>
    </w:p>
    <w:p w14:paraId="6343758B" w14:textId="77777777" w:rsidR="00300EF3" w:rsidRDefault="00E42C6C">
      <w:pPr>
        <w:jc w:val="both"/>
      </w:pPr>
      <w:r>
        <w:t>Ispravak vrijednosti postrojenja i opreme je povećan jer je izvršen ispravak vrijednosti po propisanim stopama, dok je za novo nabavljanu opremu čija je nabavna vrijednost manja od 500,00 € izvršen stopostotni ispravak vrijednosti.</w:t>
      </w:r>
    </w:p>
    <w:p w14:paraId="2E01540D" w14:textId="77777777" w:rsidR="00300EF3" w:rsidRDefault="00300EF3"/>
    <w:p w14:paraId="0402488C" w14:textId="77777777" w:rsidR="00300EF3" w:rsidRDefault="00E42C6C">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5D6FF2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A5E3D2"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21DBA4"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F3C8B7"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67FFC7" w14:textId="77777777" w:rsidR="00300EF3" w:rsidRDefault="00E42C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CC5354" w14:textId="77777777" w:rsidR="00300EF3" w:rsidRDefault="00E42C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AA595C9" w14:textId="77777777" w:rsidR="00300EF3" w:rsidRDefault="00E42C6C">
            <w:pPr>
              <w:keepNext/>
              <w:keepLines/>
              <w:spacing w:after="0" w:line="240" w:lineRule="auto"/>
              <w:jc w:val="center"/>
            </w:pPr>
            <w:r>
              <w:rPr>
                <w:b/>
                <w:sz w:val="18"/>
              </w:rPr>
              <w:t>Indeks (%)</w:t>
            </w:r>
          </w:p>
        </w:tc>
      </w:tr>
      <w:tr w:rsidR="00300EF3" w14:paraId="1280834F" w14:textId="77777777">
        <w:tblPrEx>
          <w:tblCellMar>
            <w:top w:w="0" w:type="dxa"/>
            <w:bottom w:w="0" w:type="dxa"/>
          </w:tblCellMar>
        </w:tblPrEx>
        <w:trPr>
          <w:cantSplit/>
          <w:trHeight w:val="560"/>
        </w:trPr>
        <w:tc>
          <w:tcPr>
            <w:tcW w:w="700" w:type="dxa"/>
            <w:tcMar>
              <w:top w:w="0" w:type="dxa"/>
              <w:bottom w:w="0" w:type="dxa"/>
            </w:tcMar>
            <w:vAlign w:val="center"/>
          </w:tcPr>
          <w:p w14:paraId="2AB4E29F" w14:textId="77777777" w:rsidR="00300EF3" w:rsidRDefault="00E42C6C">
            <w:pPr>
              <w:keepNext/>
              <w:keepLines/>
              <w:spacing w:after="0" w:line="240" w:lineRule="auto"/>
            </w:pPr>
            <w:r>
              <w:rPr>
                <w:sz w:val="18"/>
              </w:rPr>
              <w:t>023 i 02923</w:t>
            </w:r>
          </w:p>
        </w:tc>
        <w:tc>
          <w:tcPr>
            <w:tcW w:w="3180" w:type="dxa"/>
            <w:tcMar>
              <w:top w:w="0" w:type="dxa"/>
              <w:bottom w:w="0" w:type="dxa"/>
            </w:tcMar>
            <w:vAlign w:val="center"/>
          </w:tcPr>
          <w:p w14:paraId="7866B41E" w14:textId="77777777" w:rsidR="00300EF3" w:rsidRDefault="00E42C6C">
            <w:pPr>
              <w:keepNext/>
              <w:keepLines/>
              <w:spacing w:after="0" w:line="240" w:lineRule="auto"/>
            </w:pPr>
            <w:r>
              <w:rPr>
                <w:sz w:val="18"/>
              </w:rPr>
              <w:t>Prijevozna sredstva (šifre 0231 do 0234 - 02923)</w:t>
            </w:r>
          </w:p>
        </w:tc>
        <w:tc>
          <w:tcPr>
            <w:tcW w:w="700" w:type="dxa"/>
            <w:tcMar>
              <w:top w:w="0" w:type="dxa"/>
              <w:bottom w:w="0" w:type="dxa"/>
            </w:tcMar>
            <w:vAlign w:val="center"/>
          </w:tcPr>
          <w:p w14:paraId="1718D23F" w14:textId="77777777" w:rsidR="00300EF3" w:rsidRDefault="00E42C6C">
            <w:pPr>
              <w:keepNext/>
              <w:keepLines/>
              <w:spacing w:after="0" w:line="240" w:lineRule="auto"/>
            </w:pPr>
            <w:r>
              <w:rPr>
                <w:sz w:val="18"/>
              </w:rPr>
              <w:t>023 i 02923</w:t>
            </w:r>
          </w:p>
        </w:tc>
        <w:tc>
          <w:tcPr>
            <w:tcW w:w="1860" w:type="dxa"/>
            <w:tcMar>
              <w:top w:w="0" w:type="dxa"/>
              <w:bottom w:w="0" w:type="dxa"/>
            </w:tcMar>
            <w:vAlign w:val="center"/>
          </w:tcPr>
          <w:p w14:paraId="2E466B5E" w14:textId="77777777" w:rsidR="00300EF3" w:rsidRDefault="00E42C6C">
            <w:pPr>
              <w:keepNext/>
              <w:keepLines/>
              <w:spacing w:after="0" w:line="240" w:lineRule="auto"/>
              <w:jc w:val="right"/>
            </w:pPr>
            <w:r>
              <w:rPr>
                <w:sz w:val="18"/>
              </w:rPr>
              <w:t>3.111.579,74</w:t>
            </w:r>
          </w:p>
        </w:tc>
        <w:tc>
          <w:tcPr>
            <w:tcW w:w="1860" w:type="dxa"/>
            <w:tcMar>
              <w:top w:w="0" w:type="dxa"/>
              <w:bottom w:w="0" w:type="dxa"/>
            </w:tcMar>
            <w:vAlign w:val="center"/>
          </w:tcPr>
          <w:p w14:paraId="5E91BCA1" w14:textId="77777777" w:rsidR="00300EF3" w:rsidRDefault="00E42C6C">
            <w:pPr>
              <w:keepNext/>
              <w:keepLines/>
              <w:spacing w:after="0" w:line="240" w:lineRule="auto"/>
              <w:jc w:val="right"/>
            </w:pPr>
            <w:r>
              <w:rPr>
                <w:sz w:val="18"/>
              </w:rPr>
              <w:t>3.606.881,54</w:t>
            </w:r>
          </w:p>
        </w:tc>
        <w:tc>
          <w:tcPr>
            <w:tcW w:w="700" w:type="dxa"/>
            <w:tcMar>
              <w:top w:w="0" w:type="dxa"/>
              <w:bottom w:w="0" w:type="dxa"/>
            </w:tcMar>
            <w:vAlign w:val="center"/>
          </w:tcPr>
          <w:p w14:paraId="17FE5145" w14:textId="77777777" w:rsidR="00300EF3" w:rsidRDefault="00E42C6C">
            <w:pPr>
              <w:keepNext/>
              <w:keepLines/>
              <w:spacing w:after="0" w:line="240" w:lineRule="auto"/>
              <w:jc w:val="right"/>
            </w:pPr>
            <w:r>
              <w:rPr>
                <w:sz w:val="18"/>
              </w:rPr>
              <w:t>115,9</w:t>
            </w:r>
          </w:p>
        </w:tc>
      </w:tr>
    </w:tbl>
    <w:p w14:paraId="673A2CDD" w14:textId="77777777" w:rsidR="00300EF3" w:rsidRDefault="00300EF3">
      <w:pPr>
        <w:spacing w:after="0"/>
      </w:pPr>
    </w:p>
    <w:p w14:paraId="3DD7F8D8" w14:textId="77777777" w:rsidR="00300EF3" w:rsidRDefault="00E42C6C">
      <w:pPr>
        <w:jc w:val="both"/>
      </w:pPr>
      <w:r>
        <w:t>Prijevozna sredstva – sadašnja vrijednost prijevoznih sredstava veća je za 495.301,80 € odnosno za 15,9 % u odnosu na početak godine. Razlog povećanja je u nabavi 11 novih vozila za izvanbolničku hitnu medicinu. U 2025.g. je izvršena prodaja 11 rashodovanih vozila.</w:t>
      </w:r>
    </w:p>
    <w:p w14:paraId="21725927" w14:textId="77777777" w:rsidR="00300EF3" w:rsidRDefault="00300EF3"/>
    <w:p w14:paraId="3AD2E91C" w14:textId="77777777" w:rsidR="00300EF3" w:rsidRDefault="00E42C6C">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21FADA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45BD00"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707D12"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7AEDBD"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FF291A" w14:textId="77777777" w:rsidR="00300EF3" w:rsidRDefault="00E42C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9D8A230" w14:textId="77777777" w:rsidR="00300EF3" w:rsidRDefault="00E42C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6D2D9D0" w14:textId="77777777" w:rsidR="00300EF3" w:rsidRDefault="00E42C6C">
            <w:pPr>
              <w:keepNext/>
              <w:keepLines/>
              <w:spacing w:after="0" w:line="240" w:lineRule="auto"/>
              <w:jc w:val="center"/>
            </w:pPr>
            <w:r>
              <w:rPr>
                <w:b/>
                <w:sz w:val="18"/>
              </w:rPr>
              <w:t>Indeks (%)</w:t>
            </w:r>
          </w:p>
        </w:tc>
      </w:tr>
      <w:tr w:rsidR="00300EF3" w14:paraId="294A8703" w14:textId="77777777">
        <w:tblPrEx>
          <w:tblCellMar>
            <w:top w:w="0" w:type="dxa"/>
            <w:bottom w:w="0" w:type="dxa"/>
          </w:tblCellMar>
        </w:tblPrEx>
        <w:trPr>
          <w:cantSplit/>
          <w:trHeight w:val="560"/>
        </w:trPr>
        <w:tc>
          <w:tcPr>
            <w:tcW w:w="700" w:type="dxa"/>
            <w:tcMar>
              <w:top w:w="0" w:type="dxa"/>
              <w:bottom w:w="0" w:type="dxa"/>
            </w:tcMar>
            <w:vAlign w:val="center"/>
          </w:tcPr>
          <w:p w14:paraId="2F93B35A" w14:textId="77777777" w:rsidR="00300EF3" w:rsidRDefault="00E42C6C">
            <w:pPr>
              <w:keepNext/>
              <w:keepLines/>
              <w:spacing w:after="0" w:line="240" w:lineRule="auto"/>
            </w:pPr>
            <w:r>
              <w:rPr>
                <w:sz w:val="18"/>
              </w:rPr>
              <w:t>042</w:t>
            </w:r>
          </w:p>
        </w:tc>
        <w:tc>
          <w:tcPr>
            <w:tcW w:w="3180" w:type="dxa"/>
            <w:tcMar>
              <w:top w:w="0" w:type="dxa"/>
              <w:bottom w:w="0" w:type="dxa"/>
            </w:tcMar>
            <w:vAlign w:val="center"/>
          </w:tcPr>
          <w:p w14:paraId="50543EF7" w14:textId="77777777" w:rsidR="00300EF3" w:rsidRDefault="00E42C6C">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14:paraId="4B005735" w14:textId="77777777" w:rsidR="00300EF3" w:rsidRDefault="00E42C6C">
            <w:pPr>
              <w:keepNext/>
              <w:keepLines/>
              <w:spacing w:after="0" w:line="240" w:lineRule="auto"/>
            </w:pPr>
            <w:r>
              <w:rPr>
                <w:sz w:val="18"/>
              </w:rPr>
              <w:t>042</w:t>
            </w:r>
          </w:p>
        </w:tc>
        <w:tc>
          <w:tcPr>
            <w:tcW w:w="1860" w:type="dxa"/>
            <w:tcMar>
              <w:top w:w="0" w:type="dxa"/>
              <w:bottom w:w="0" w:type="dxa"/>
            </w:tcMar>
            <w:vAlign w:val="center"/>
          </w:tcPr>
          <w:p w14:paraId="671E5F0C" w14:textId="77777777" w:rsidR="00300EF3" w:rsidRDefault="00E42C6C">
            <w:pPr>
              <w:keepNext/>
              <w:keepLines/>
              <w:spacing w:after="0" w:line="240" w:lineRule="auto"/>
              <w:jc w:val="right"/>
            </w:pPr>
            <w:r>
              <w:rPr>
                <w:sz w:val="18"/>
              </w:rPr>
              <w:t>175.042,86</w:t>
            </w:r>
          </w:p>
        </w:tc>
        <w:tc>
          <w:tcPr>
            <w:tcW w:w="1860" w:type="dxa"/>
            <w:tcMar>
              <w:top w:w="0" w:type="dxa"/>
              <w:bottom w:w="0" w:type="dxa"/>
            </w:tcMar>
            <w:vAlign w:val="center"/>
          </w:tcPr>
          <w:p w14:paraId="1331448D" w14:textId="77777777" w:rsidR="00300EF3" w:rsidRDefault="00E42C6C">
            <w:pPr>
              <w:keepNext/>
              <w:keepLines/>
              <w:spacing w:after="0" w:line="240" w:lineRule="auto"/>
              <w:jc w:val="right"/>
            </w:pPr>
            <w:r>
              <w:rPr>
                <w:sz w:val="18"/>
              </w:rPr>
              <w:t>209.910,69</w:t>
            </w:r>
          </w:p>
        </w:tc>
        <w:tc>
          <w:tcPr>
            <w:tcW w:w="700" w:type="dxa"/>
            <w:tcMar>
              <w:top w:w="0" w:type="dxa"/>
              <w:bottom w:w="0" w:type="dxa"/>
            </w:tcMar>
            <w:vAlign w:val="center"/>
          </w:tcPr>
          <w:p w14:paraId="641F8BFE" w14:textId="77777777" w:rsidR="00300EF3" w:rsidRDefault="00E42C6C">
            <w:pPr>
              <w:keepNext/>
              <w:keepLines/>
              <w:spacing w:after="0" w:line="240" w:lineRule="auto"/>
              <w:jc w:val="right"/>
            </w:pPr>
            <w:r>
              <w:rPr>
                <w:sz w:val="18"/>
              </w:rPr>
              <w:t>119,9</w:t>
            </w:r>
          </w:p>
        </w:tc>
      </w:tr>
    </w:tbl>
    <w:p w14:paraId="2B2A3B9C" w14:textId="77777777" w:rsidR="00300EF3" w:rsidRDefault="00300EF3">
      <w:pPr>
        <w:spacing w:after="0"/>
      </w:pPr>
    </w:p>
    <w:p w14:paraId="0E3D8805" w14:textId="77777777" w:rsidR="00300EF3" w:rsidRDefault="00E42C6C">
      <w:pPr>
        <w:jc w:val="both"/>
      </w:pPr>
      <w:r>
        <w:t xml:space="preserve">Sitni inventar i </w:t>
      </w:r>
      <w:proofErr w:type="spellStart"/>
      <w:r>
        <w:t>autogume</w:t>
      </w:r>
      <w:proofErr w:type="spellEnd"/>
      <w:r>
        <w:t xml:space="preserve"> u upotrebi – veće su za 34.867,83 € odnosno za 19,9 % jer je zbog usklađenja sa pravilnikom i standardima nabavljeno više medicinske opreme.</w:t>
      </w:r>
    </w:p>
    <w:p w14:paraId="6997F211" w14:textId="77777777" w:rsidR="00300EF3" w:rsidRDefault="00300EF3"/>
    <w:p w14:paraId="052E769B" w14:textId="77777777" w:rsidR="00300EF3" w:rsidRDefault="00E42C6C">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37F6D9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88D885"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E759B5"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69441A"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6680FF" w14:textId="77777777" w:rsidR="00300EF3" w:rsidRDefault="00E42C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86F9187" w14:textId="77777777" w:rsidR="00300EF3" w:rsidRDefault="00E42C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B2EA82F" w14:textId="77777777" w:rsidR="00300EF3" w:rsidRDefault="00E42C6C">
            <w:pPr>
              <w:keepNext/>
              <w:keepLines/>
              <w:spacing w:after="0" w:line="240" w:lineRule="auto"/>
              <w:jc w:val="center"/>
            </w:pPr>
            <w:r>
              <w:rPr>
                <w:b/>
                <w:sz w:val="18"/>
              </w:rPr>
              <w:t>Indeks (%)</w:t>
            </w:r>
          </w:p>
        </w:tc>
      </w:tr>
      <w:tr w:rsidR="00300EF3" w14:paraId="2B237EE7" w14:textId="77777777">
        <w:tblPrEx>
          <w:tblCellMar>
            <w:top w:w="0" w:type="dxa"/>
            <w:bottom w:w="0" w:type="dxa"/>
          </w:tblCellMar>
        </w:tblPrEx>
        <w:trPr>
          <w:cantSplit/>
          <w:trHeight w:val="560"/>
        </w:trPr>
        <w:tc>
          <w:tcPr>
            <w:tcW w:w="700" w:type="dxa"/>
            <w:tcMar>
              <w:top w:w="0" w:type="dxa"/>
              <w:bottom w:w="0" w:type="dxa"/>
            </w:tcMar>
            <w:vAlign w:val="center"/>
          </w:tcPr>
          <w:p w14:paraId="13F4C0D3" w14:textId="77777777" w:rsidR="00300EF3" w:rsidRDefault="00E42C6C">
            <w:pPr>
              <w:keepNext/>
              <w:keepLines/>
              <w:spacing w:after="0" w:line="240" w:lineRule="auto"/>
            </w:pPr>
            <w:r>
              <w:rPr>
                <w:sz w:val="18"/>
              </w:rPr>
              <w:t>051</w:t>
            </w:r>
          </w:p>
        </w:tc>
        <w:tc>
          <w:tcPr>
            <w:tcW w:w="3180" w:type="dxa"/>
            <w:tcMar>
              <w:top w:w="0" w:type="dxa"/>
              <w:bottom w:w="0" w:type="dxa"/>
            </w:tcMar>
            <w:vAlign w:val="center"/>
          </w:tcPr>
          <w:p w14:paraId="2F961F77" w14:textId="77777777" w:rsidR="00300EF3" w:rsidRDefault="00E42C6C">
            <w:pPr>
              <w:keepNext/>
              <w:keepLines/>
              <w:spacing w:after="0" w:line="240" w:lineRule="auto"/>
            </w:pPr>
            <w:r>
              <w:rPr>
                <w:sz w:val="18"/>
              </w:rPr>
              <w:t>Građevinski objekti u pripremi</w:t>
            </w:r>
          </w:p>
        </w:tc>
        <w:tc>
          <w:tcPr>
            <w:tcW w:w="700" w:type="dxa"/>
            <w:tcMar>
              <w:top w:w="0" w:type="dxa"/>
              <w:bottom w:w="0" w:type="dxa"/>
            </w:tcMar>
            <w:vAlign w:val="center"/>
          </w:tcPr>
          <w:p w14:paraId="2D41F6A4" w14:textId="77777777" w:rsidR="00300EF3" w:rsidRDefault="00E42C6C">
            <w:pPr>
              <w:keepNext/>
              <w:keepLines/>
              <w:spacing w:after="0" w:line="240" w:lineRule="auto"/>
            </w:pPr>
            <w:r>
              <w:rPr>
                <w:sz w:val="18"/>
              </w:rPr>
              <w:t>051</w:t>
            </w:r>
          </w:p>
        </w:tc>
        <w:tc>
          <w:tcPr>
            <w:tcW w:w="1860" w:type="dxa"/>
            <w:tcMar>
              <w:top w:w="0" w:type="dxa"/>
              <w:bottom w:w="0" w:type="dxa"/>
            </w:tcMar>
            <w:vAlign w:val="center"/>
          </w:tcPr>
          <w:p w14:paraId="569FC652" w14:textId="77777777" w:rsidR="00300EF3" w:rsidRDefault="00E42C6C">
            <w:pPr>
              <w:keepNext/>
              <w:keepLines/>
              <w:spacing w:after="0" w:line="240" w:lineRule="auto"/>
              <w:jc w:val="right"/>
            </w:pPr>
            <w:r>
              <w:rPr>
                <w:sz w:val="18"/>
              </w:rPr>
              <w:t>10.625,00</w:t>
            </w:r>
          </w:p>
        </w:tc>
        <w:tc>
          <w:tcPr>
            <w:tcW w:w="1860" w:type="dxa"/>
            <w:tcMar>
              <w:top w:w="0" w:type="dxa"/>
              <w:bottom w:w="0" w:type="dxa"/>
            </w:tcMar>
            <w:vAlign w:val="center"/>
          </w:tcPr>
          <w:p w14:paraId="4A882256" w14:textId="77777777" w:rsidR="00300EF3" w:rsidRDefault="00E42C6C">
            <w:pPr>
              <w:keepNext/>
              <w:keepLines/>
              <w:spacing w:after="0" w:line="240" w:lineRule="auto"/>
              <w:jc w:val="right"/>
            </w:pPr>
            <w:r>
              <w:rPr>
                <w:sz w:val="18"/>
              </w:rPr>
              <w:t>191.887,63</w:t>
            </w:r>
          </w:p>
        </w:tc>
        <w:tc>
          <w:tcPr>
            <w:tcW w:w="700" w:type="dxa"/>
            <w:tcMar>
              <w:top w:w="0" w:type="dxa"/>
              <w:bottom w:w="0" w:type="dxa"/>
            </w:tcMar>
            <w:vAlign w:val="center"/>
          </w:tcPr>
          <w:p w14:paraId="639A2252" w14:textId="77777777" w:rsidR="00300EF3" w:rsidRDefault="00E42C6C">
            <w:pPr>
              <w:keepNext/>
              <w:keepLines/>
              <w:spacing w:after="0" w:line="240" w:lineRule="auto"/>
              <w:jc w:val="right"/>
            </w:pPr>
            <w:r>
              <w:rPr>
                <w:sz w:val="18"/>
              </w:rPr>
              <w:t>1806,0</w:t>
            </w:r>
          </w:p>
        </w:tc>
      </w:tr>
    </w:tbl>
    <w:p w14:paraId="0BC838F7" w14:textId="77777777" w:rsidR="00300EF3" w:rsidRDefault="00300EF3">
      <w:pPr>
        <w:spacing w:after="0"/>
      </w:pPr>
    </w:p>
    <w:p w14:paraId="1B3E156E" w14:textId="77777777" w:rsidR="00300EF3" w:rsidRDefault="00E42C6C">
      <w:pPr>
        <w:jc w:val="both"/>
      </w:pPr>
      <w:r>
        <w:t>Građevinski objekti u pripremi – u 2025.g. započeta je adaptacija ispostave hitne medicine u Vrgorcu te je dobavljač ispostavio račun za prvu privremenu situaciju. </w:t>
      </w:r>
    </w:p>
    <w:p w14:paraId="37C8CB31" w14:textId="77777777" w:rsidR="00300EF3" w:rsidRDefault="00300EF3"/>
    <w:p w14:paraId="2D27F36A" w14:textId="77777777" w:rsidR="00300EF3" w:rsidRDefault="00E42C6C">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4F91ED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B1F076"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62DF97"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28A674"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86A10F" w14:textId="77777777" w:rsidR="00300EF3" w:rsidRDefault="00E42C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6DD8C1A" w14:textId="77777777" w:rsidR="00300EF3" w:rsidRDefault="00E42C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C547824" w14:textId="77777777" w:rsidR="00300EF3" w:rsidRDefault="00E42C6C">
            <w:pPr>
              <w:keepNext/>
              <w:keepLines/>
              <w:spacing w:after="0" w:line="240" w:lineRule="auto"/>
              <w:jc w:val="center"/>
            </w:pPr>
            <w:r>
              <w:rPr>
                <w:b/>
                <w:sz w:val="18"/>
              </w:rPr>
              <w:t>Indeks (%)</w:t>
            </w:r>
          </w:p>
        </w:tc>
      </w:tr>
      <w:tr w:rsidR="00300EF3" w14:paraId="2E8AC64F" w14:textId="77777777">
        <w:tblPrEx>
          <w:tblCellMar>
            <w:top w:w="0" w:type="dxa"/>
            <w:bottom w:w="0" w:type="dxa"/>
          </w:tblCellMar>
        </w:tblPrEx>
        <w:trPr>
          <w:cantSplit/>
          <w:trHeight w:val="560"/>
        </w:trPr>
        <w:tc>
          <w:tcPr>
            <w:tcW w:w="700" w:type="dxa"/>
            <w:tcMar>
              <w:top w:w="0" w:type="dxa"/>
              <w:bottom w:w="0" w:type="dxa"/>
            </w:tcMar>
            <w:vAlign w:val="center"/>
          </w:tcPr>
          <w:p w14:paraId="2C5E5F8C" w14:textId="77777777" w:rsidR="00300EF3" w:rsidRDefault="00E42C6C">
            <w:pPr>
              <w:keepNext/>
              <w:keepLines/>
              <w:spacing w:after="0" w:line="240" w:lineRule="auto"/>
            </w:pPr>
            <w:r>
              <w:rPr>
                <w:sz w:val="18"/>
              </w:rPr>
              <w:t>065</w:t>
            </w:r>
          </w:p>
        </w:tc>
        <w:tc>
          <w:tcPr>
            <w:tcW w:w="3180" w:type="dxa"/>
            <w:tcMar>
              <w:top w:w="0" w:type="dxa"/>
              <w:bottom w:w="0" w:type="dxa"/>
            </w:tcMar>
            <w:vAlign w:val="center"/>
          </w:tcPr>
          <w:p w14:paraId="3B843CCD" w14:textId="77777777" w:rsidR="00300EF3" w:rsidRDefault="00E42C6C">
            <w:pPr>
              <w:keepNext/>
              <w:keepLines/>
              <w:spacing w:after="0" w:line="240" w:lineRule="auto"/>
            </w:pPr>
            <w:r>
              <w:rPr>
                <w:sz w:val="18"/>
              </w:rPr>
              <w:t>Zalihe lijekova i potrošnog medicinskog materijala kod zdravstvenih ustanova</w:t>
            </w:r>
          </w:p>
        </w:tc>
        <w:tc>
          <w:tcPr>
            <w:tcW w:w="700" w:type="dxa"/>
            <w:tcMar>
              <w:top w:w="0" w:type="dxa"/>
              <w:bottom w:w="0" w:type="dxa"/>
            </w:tcMar>
            <w:vAlign w:val="center"/>
          </w:tcPr>
          <w:p w14:paraId="5B1D4E20" w14:textId="77777777" w:rsidR="00300EF3" w:rsidRDefault="00E42C6C">
            <w:pPr>
              <w:keepNext/>
              <w:keepLines/>
              <w:spacing w:after="0" w:line="240" w:lineRule="auto"/>
            </w:pPr>
            <w:r>
              <w:rPr>
                <w:sz w:val="18"/>
              </w:rPr>
              <w:t>065</w:t>
            </w:r>
          </w:p>
        </w:tc>
        <w:tc>
          <w:tcPr>
            <w:tcW w:w="1860" w:type="dxa"/>
            <w:tcMar>
              <w:top w:w="0" w:type="dxa"/>
              <w:bottom w:w="0" w:type="dxa"/>
            </w:tcMar>
            <w:vAlign w:val="center"/>
          </w:tcPr>
          <w:p w14:paraId="0E4B10AC" w14:textId="77777777" w:rsidR="00300EF3" w:rsidRDefault="00E42C6C">
            <w:pPr>
              <w:keepNext/>
              <w:keepLines/>
              <w:spacing w:after="0" w:line="240" w:lineRule="auto"/>
              <w:jc w:val="right"/>
            </w:pPr>
            <w:r>
              <w:rPr>
                <w:sz w:val="18"/>
              </w:rPr>
              <w:t>228.974,95</w:t>
            </w:r>
          </w:p>
        </w:tc>
        <w:tc>
          <w:tcPr>
            <w:tcW w:w="1860" w:type="dxa"/>
            <w:tcMar>
              <w:top w:w="0" w:type="dxa"/>
              <w:bottom w:w="0" w:type="dxa"/>
            </w:tcMar>
            <w:vAlign w:val="center"/>
          </w:tcPr>
          <w:p w14:paraId="70CB514D" w14:textId="77777777" w:rsidR="00300EF3" w:rsidRDefault="00E42C6C">
            <w:pPr>
              <w:keepNext/>
              <w:keepLines/>
              <w:spacing w:after="0" w:line="240" w:lineRule="auto"/>
              <w:jc w:val="right"/>
            </w:pPr>
            <w:r>
              <w:rPr>
                <w:sz w:val="18"/>
              </w:rPr>
              <w:t>264.511,77</w:t>
            </w:r>
          </w:p>
        </w:tc>
        <w:tc>
          <w:tcPr>
            <w:tcW w:w="700" w:type="dxa"/>
            <w:tcMar>
              <w:top w:w="0" w:type="dxa"/>
              <w:bottom w:w="0" w:type="dxa"/>
            </w:tcMar>
            <w:vAlign w:val="center"/>
          </w:tcPr>
          <w:p w14:paraId="42FAE75E" w14:textId="77777777" w:rsidR="00300EF3" w:rsidRDefault="00E42C6C">
            <w:pPr>
              <w:keepNext/>
              <w:keepLines/>
              <w:spacing w:after="0" w:line="240" w:lineRule="auto"/>
              <w:jc w:val="right"/>
            </w:pPr>
            <w:r>
              <w:rPr>
                <w:sz w:val="18"/>
              </w:rPr>
              <w:t>115,5</w:t>
            </w:r>
          </w:p>
        </w:tc>
      </w:tr>
    </w:tbl>
    <w:p w14:paraId="1CE69147" w14:textId="77777777" w:rsidR="00300EF3" w:rsidRDefault="00300EF3">
      <w:pPr>
        <w:spacing w:after="0"/>
      </w:pPr>
    </w:p>
    <w:p w14:paraId="54601CB2" w14:textId="77777777" w:rsidR="00300EF3" w:rsidRDefault="00E42C6C">
      <w:pPr>
        <w:jc w:val="both"/>
      </w:pPr>
      <w:r>
        <w:t xml:space="preserve">Zalihe lijekova i potrošnog medicinskog materijala kod zdravstvenih ustanova – veće su za 35.536,82 € odnosno za 15,5 % u odnosu početak godine što je posljedica porasta cijena lijekova i sanitetskog materijala na tržištu. Sukladno Pravilniku o proračunskom računovodstvu i Računskom planu od početka 2025.g. zalihe lijekova i potrošnog medicinskog materijala evidentiraju se preko novootvorene podskupine 065-Zalihe lijekova i potrošnog medicinskog materijala kod zdravstvenih ustanova, dok su se u 2024.g. sve </w:t>
      </w:r>
      <w:r>
        <w:t>zalihe vodile preko podskupine 061-Zalihe za obavljanje djelatnosti. </w:t>
      </w:r>
    </w:p>
    <w:p w14:paraId="0639B295" w14:textId="77777777" w:rsidR="00300EF3" w:rsidRDefault="00300EF3"/>
    <w:p w14:paraId="6E84B067" w14:textId="77777777" w:rsidR="00300EF3" w:rsidRDefault="00E42C6C">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649422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705B0C"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61D079"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878834"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80E8FD" w14:textId="77777777" w:rsidR="00300EF3" w:rsidRDefault="00E42C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177114C" w14:textId="77777777" w:rsidR="00300EF3" w:rsidRDefault="00E42C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FDF4CD9" w14:textId="77777777" w:rsidR="00300EF3" w:rsidRDefault="00E42C6C">
            <w:pPr>
              <w:keepNext/>
              <w:keepLines/>
              <w:spacing w:after="0" w:line="240" w:lineRule="auto"/>
              <w:jc w:val="center"/>
            </w:pPr>
            <w:r>
              <w:rPr>
                <w:b/>
                <w:sz w:val="18"/>
              </w:rPr>
              <w:t>Indeks (%)</w:t>
            </w:r>
          </w:p>
        </w:tc>
      </w:tr>
      <w:tr w:rsidR="00300EF3" w14:paraId="1E16ECC3" w14:textId="77777777">
        <w:tblPrEx>
          <w:tblCellMar>
            <w:top w:w="0" w:type="dxa"/>
            <w:bottom w:w="0" w:type="dxa"/>
          </w:tblCellMar>
        </w:tblPrEx>
        <w:trPr>
          <w:cantSplit/>
          <w:trHeight w:val="560"/>
        </w:trPr>
        <w:tc>
          <w:tcPr>
            <w:tcW w:w="700" w:type="dxa"/>
            <w:tcMar>
              <w:top w:w="0" w:type="dxa"/>
              <w:bottom w:w="0" w:type="dxa"/>
            </w:tcMar>
            <w:vAlign w:val="center"/>
          </w:tcPr>
          <w:p w14:paraId="21FDA56F" w14:textId="77777777" w:rsidR="00300EF3" w:rsidRDefault="00E42C6C">
            <w:pPr>
              <w:keepNext/>
              <w:keepLines/>
              <w:spacing w:after="0" w:line="240" w:lineRule="auto"/>
            </w:pPr>
            <w:r>
              <w:rPr>
                <w:sz w:val="18"/>
              </w:rPr>
              <w:t>11</w:t>
            </w:r>
          </w:p>
        </w:tc>
        <w:tc>
          <w:tcPr>
            <w:tcW w:w="3180" w:type="dxa"/>
            <w:tcMar>
              <w:top w:w="0" w:type="dxa"/>
              <w:bottom w:w="0" w:type="dxa"/>
            </w:tcMar>
            <w:vAlign w:val="center"/>
          </w:tcPr>
          <w:p w14:paraId="1AC047A0" w14:textId="77777777" w:rsidR="00300EF3" w:rsidRDefault="00E42C6C">
            <w:pPr>
              <w:keepNext/>
              <w:keepLines/>
              <w:spacing w:after="0" w:line="240" w:lineRule="auto"/>
            </w:pPr>
            <w:r>
              <w:rPr>
                <w:sz w:val="18"/>
              </w:rPr>
              <w:t>Novac u banci i blagajni (šifre 111+112 do 114)</w:t>
            </w:r>
          </w:p>
        </w:tc>
        <w:tc>
          <w:tcPr>
            <w:tcW w:w="700" w:type="dxa"/>
            <w:tcMar>
              <w:top w:w="0" w:type="dxa"/>
              <w:bottom w:w="0" w:type="dxa"/>
            </w:tcMar>
            <w:vAlign w:val="center"/>
          </w:tcPr>
          <w:p w14:paraId="5D8896B8" w14:textId="77777777" w:rsidR="00300EF3" w:rsidRDefault="00E42C6C">
            <w:pPr>
              <w:keepNext/>
              <w:keepLines/>
              <w:spacing w:after="0" w:line="240" w:lineRule="auto"/>
            </w:pPr>
            <w:r>
              <w:rPr>
                <w:sz w:val="18"/>
              </w:rPr>
              <w:t>11</w:t>
            </w:r>
          </w:p>
        </w:tc>
        <w:tc>
          <w:tcPr>
            <w:tcW w:w="1860" w:type="dxa"/>
            <w:tcMar>
              <w:top w:w="0" w:type="dxa"/>
              <w:bottom w:w="0" w:type="dxa"/>
            </w:tcMar>
            <w:vAlign w:val="center"/>
          </w:tcPr>
          <w:p w14:paraId="5C0B09A0" w14:textId="77777777" w:rsidR="00300EF3" w:rsidRDefault="00E42C6C">
            <w:pPr>
              <w:keepNext/>
              <w:keepLines/>
              <w:spacing w:after="0" w:line="240" w:lineRule="auto"/>
              <w:jc w:val="right"/>
            </w:pPr>
            <w:r>
              <w:rPr>
                <w:sz w:val="18"/>
              </w:rPr>
              <w:t>4.279.948,62</w:t>
            </w:r>
          </w:p>
        </w:tc>
        <w:tc>
          <w:tcPr>
            <w:tcW w:w="1860" w:type="dxa"/>
            <w:tcMar>
              <w:top w:w="0" w:type="dxa"/>
              <w:bottom w:w="0" w:type="dxa"/>
            </w:tcMar>
            <w:vAlign w:val="center"/>
          </w:tcPr>
          <w:p w14:paraId="2E7D37D6" w14:textId="77777777" w:rsidR="00300EF3" w:rsidRDefault="00E42C6C">
            <w:pPr>
              <w:keepNext/>
              <w:keepLines/>
              <w:spacing w:after="0" w:line="240" w:lineRule="auto"/>
              <w:jc w:val="right"/>
            </w:pPr>
            <w:r>
              <w:rPr>
                <w:sz w:val="18"/>
              </w:rPr>
              <w:t>6.098.240,22</w:t>
            </w:r>
          </w:p>
        </w:tc>
        <w:tc>
          <w:tcPr>
            <w:tcW w:w="700" w:type="dxa"/>
            <w:tcMar>
              <w:top w:w="0" w:type="dxa"/>
              <w:bottom w:w="0" w:type="dxa"/>
            </w:tcMar>
            <w:vAlign w:val="center"/>
          </w:tcPr>
          <w:p w14:paraId="14D3D81F" w14:textId="77777777" w:rsidR="00300EF3" w:rsidRDefault="00E42C6C">
            <w:pPr>
              <w:keepNext/>
              <w:keepLines/>
              <w:spacing w:after="0" w:line="240" w:lineRule="auto"/>
              <w:jc w:val="right"/>
            </w:pPr>
            <w:r>
              <w:rPr>
                <w:sz w:val="18"/>
              </w:rPr>
              <w:t>142,5</w:t>
            </w:r>
          </w:p>
        </w:tc>
      </w:tr>
    </w:tbl>
    <w:p w14:paraId="7085C3F6" w14:textId="77777777" w:rsidR="00300EF3" w:rsidRDefault="00300EF3">
      <w:pPr>
        <w:spacing w:after="0"/>
      </w:pPr>
    </w:p>
    <w:p w14:paraId="56BBAD60" w14:textId="77777777" w:rsidR="00300EF3" w:rsidRDefault="00E42C6C">
      <w:pPr>
        <w:jc w:val="both"/>
      </w:pPr>
      <w:r>
        <w:t>Novac u banci i blagajni – novčana sredstva na računu i u blagajni veća su za 1.818.291,60 € odnosno za 42,5 % u odnosu na početak godine. Povećanje novčanih sredstava rezultat je dinamike priljeva sredstava od HZZO-a i drugih izvora te pravodobnog podmirenja obveza. </w:t>
      </w:r>
    </w:p>
    <w:p w14:paraId="78F72333" w14:textId="77777777" w:rsidR="00300EF3" w:rsidRDefault="00300EF3"/>
    <w:p w14:paraId="3C0E47E0" w14:textId="77777777" w:rsidR="00300EF3" w:rsidRDefault="00E42C6C">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48DEC8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E82908"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7AC46B"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CDEC4E"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EF1EFC" w14:textId="77777777" w:rsidR="00300EF3" w:rsidRDefault="00E42C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184A1A7" w14:textId="77777777" w:rsidR="00300EF3" w:rsidRDefault="00E42C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83A8A78" w14:textId="77777777" w:rsidR="00300EF3" w:rsidRDefault="00E42C6C">
            <w:pPr>
              <w:keepNext/>
              <w:keepLines/>
              <w:spacing w:after="0" w:line="240" w:lineRule="auto"/>
              <w:jc w:val="center"/>
            </w:pPr>
            <w:r>
              <w:rPr>
                <w:b/>
                <w:sz w:val="18"/>
              </w:rPr>
              <w:t>Indeks (%)</w:t>
            </w:r>
          </w:p>
        </w:tc>
      </w:tr>
      <w:tr w:rsidR="00300EF3" w14:paraId="005AC2FE" w14:textId="77777777">
        <w:tblPrEx>
          <w:tblCellMar>
            <w:top w:w="0" w:type="dxa"/>
            <w:bottom w:w="0" w:type="dxa"/>
          </w:tblCellMar>
        </w:tblPrEx>
        <w:trPr>
          <w:cantSplit/>
          <w:trHeight w:val="560"/>
        </w:trPr>
        <w:tc>
          <w:tcPr>
            <w:tcW w:w="700" w:type="dxa"/>
            <w:tcMar>
              <w:top w:w="0" w:type="dxa"/>
              <w:bottom w:w="0" w:type="dxa"/>
            </w:tcMar>
            <w:vAlign w:val="center"/>
          </w:tcPr>
          <w:p w14:paraId="25BA0037" w14:textId="77777777" w:rsidR="00300EF3" w:rsidRDefault="00E42C6C">
            <w:pPr>
              <w:keepNext/>
              <w:keepLines/>
              <w:spacing w:after="0" w:line="240" w:lineRule="auto"/>
            </w:pPr>
            <w:r>
              <w:rPr>
                <w:sz w:val="18"/>
              </w:rPr>
              <w:t>124</w:t>
            </w:r>
          </w:p>
        </w:tc>
        <w:tc>
          <w:tcPr>
            <w:tcW w:w="3180" w:type="dxa"/>
            <w:tcMar>
              <w:top w:w="0" w:type="dxa"/>
              <w:bottom w:w="0" w:type="dxa"/>
            </w:tcMar>
            <w:vAlign w:val="center"/>
          </w:tcPr>
          <w:p w14:paraId="6BA702B0" w14:textId="77777777" w:rsidR="00300EF3" w:rsidRDefault="00E42C6C">
            <w:pPr>
              <w:keepNext/>
              <w:keepLines/>
              <w:spacing w:after="0" w:line="240" w:lineRule="auto"/>
            </w:pPr>
            <w:r>
              <w:rPr>
                <w:sz w:val="18"/>
              </w:rPr>
              <w:t>Potraživanja za više plaćene poreze i doprinose</w:t>
            </w:r>
          </w:p>
        </w:tc>
        <w:tc>
          <w:tcPr>
            <w:tcW w:w="700" w:type="dxa"/>
            <w:tcMar>
              <w:top w:w="0" w:type="dxa"/>
              <w:bottom w:w="0" w:type="dxa"/>
            </w:tcMar>
            <w:vAlign w:val="center"/>
          </w:tcPr>
          <w:p w14:paraId="011F096F" w14:textId="77777777" w:rsidR="00300EF3" w:rsidRDefault="00E42C6C">
            <w:pPr>
              <w:keepNext/>
              <w:keepLines/>
              <w:spacing w:after="0" w:line="240" w:lineRule="auto"/>
            </w:pPr>
            <w:r>
              <w:rPr>
                <w:sz w:val="18"/>
              </w:rPr>
              <w:t>124</w:t>
            </w:r>
          </w:p>
        </w:tc>
        <w:tc>
          <w:tcPr>
            <w:tcW w:w="1860" w:type="dxa"/>
            <w:tcMar>
              <w:top w:w="0" w:type="dxa"/>
              <w:bottom w:w="0" w:type="dxa"/>
            </w:tcMar>
            <w:vAlign w:val="center"/>
          </w:tcPr>
          <w:p w14:paraId="1EB9A598" w14:textId="77777777" w:rsidR="00300EF3" w:rsidRDefault="00E42C6C">
            <w:pPr>
              <w:keepNext/>
              <w:keepLines/>
              <w:spacing w:after="0" w:line="240" w:lineRule="auto"/>
              <w:jc w:val="right"/>
            </w:pPr>
            <w:r>
              <w:rPr>
                <w:sz w:val="18"/>
              </w:rPr>
              <w:t>12.029,90</w:t>
            </w:r>
          </w:p>
        </w:tc>
        <w:tc>
          <w:tcPr>
            <w:tcW w:w="1860" w:type="dxa"/>
            <w:tcMar>
              <w:top w:w="0" w:type="dxa"/>
              <w:bottom w:w="0" w:type="dxa"/>
            </w:tcMar>
            <w:vAlign w:val="center"/>
          </w:tcPr>
          <w:p w14:paraId="53126986" w14:textId="77777777" w:rsidR="00300EF3" w:rsidRDefault="00E42C6C">
            <w:pPr>
              <w:keepNext/>
              <w:keepLines/>
              <w:spacing w:after="0" w:line="240" w:lineRule="auto"/>
              <w:jc w:val="right"/>
            </w:pPr>
            <w:r>
              <w:rPr>
                <w:sz w:val="18"/>
              </w:rPr>
              <w:t>304,99</w:t>
            </w:r>
          </w:p>
        </w:tc>
        <w:tc>
          <w:tcPr>
            <w:tcW w:w="700" w:type="dxa"/>
            <w:tcMar>
              <w:top w:w="0" w:type="dxa"/>
              <w:bottom w:w="0" w:type="dxa"/>
            </w:tcMar>
            <w:vAlign w:val="center"/>
          </w:tcPr>
          <w:p w14:paraId="04670C98" w14:textId="77777777" w:rsidR="00300EF3" w:rsidRDefault="00E42C6C">
            <w:pPr>
              <w:keepNext/>
              <w:keepLines/>
              <w:spacing w:after="0" w:line="240" w:lineRule="auto"/>
              <w:jc w:val="right"/>
            </w:pPr>
            <w:r>
              <w:rPr>
                <w:sz w:val="18"/>
              </w:rPr>
              <w:t>2,5</w:t>
            </w:r>
          </w:p>
        </w:tc>
      </w:tr>
    </w:tbl>
    <w:p w14:paraId="34F73E59" w14:textId="77777777" w:rsidR="00300EF3" w:rsidRDefault="00300EF3">
      <w:pPr>
        <w:spacing w:after="0"/>
      </w:pPr>
    </w:p>
    <w:p w14:paraId="0C1FBF64" w14:textId="77777777" w:rsidR="00300EF3" w:rsidRDefault="00E42C6C">
      <w:pPr>
        <w:jc w:val="both"/>
      </w:pPr>
      <w:r>
        <w:lastRenderedPageBreak/>
        <w:t>Potraživanja za više plaćene poreze i doprinose – ova pozicija je manja za 11.724,91 € odnosno za 97,5 % u odnosu na početak godine. Razlog smanjenju je u prebijanju obveza za poreze i doprinose sa potraživanjima nakon naknadno priznatih bolovanja na teret HZZO-a zbog profesionalne bolesti i ozljeda na radu.</w:t>
      </w:r>
    </w:p>
    <w:p w14:paraId="38FE2623" w14:textId="77777777" w:rsidR="00300EF3" w:rsidRDefault="00300EF3"/>
    <w:p w14:paraId="0909D925" w14:textId="77777777" w:rsidR="00300EF3" w:rsidRDefault="00E42C6C">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323C500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DC1E68"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875DEF"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2B9815"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7613A7" w14:textId="77777777" w:rsidR="00300EF3" w:rsidRDefault="00E42C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3DCC616" w14:textId="77777777" w:rsidR="00300EF3" w:rsidRDefault="00E42C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7A7FA5A" w14:textId="77777777" w:rsidR="00300EF3" w:rsidRDefault="00E42C6C">
            <w:pPr>
              <w:keepNext/>
              <w:keepLines/>
              <w:spacing w:after="0" w:line="240" w:lineRule="auto"/>
              <w:jc w:val="center"/>
            </w:pPr>
            <w:r>
              <w:rPr>
                <w:b/>
                <w:sz w:val="18"/>
              </w:rPr>
              <w:t>Indeks (%)</w:t>
            </w:r>
          </w:p>
        </w:tc>
      </w:tr>
      <w:tr w:rsidR="00300EF3" w14:paraId="20B3960E" w14:textId="77777777">
        <w:tblPrEx>
          <w:tblCellMar>
            <w:top w:w="0" w:type="dxa"/>
            <w:bottom w:w="0" w:type="dxa"/>
          </w:tblCellMar>
        </w:tblPrEx>
        <w:trPr>
          <w:cantSplit/>
          <w:trHeight w:val="560"/>
        </w:trPr>
        <w:tc>
          <w:tcPr>
            <w:tcW w:w="700" w:type="dxa"/>
            <w:tcMar>
              <w:top w:w="0" w:type="dxa"/>
              <w:bottom w:w="0" w:type="dxa"/>
            </w:tcMar>
            <w:vAlign w:val="center"/>
          </w:tcPr>
          <w:p w14:paraId="4ED6BD49" w14:textId="77777777" w:rsidR="00300EF3" w:rsidRDefault="00E42C6C">
            <w:pPr>
              <w:keepNext/>
              <w:keepLines/>
              <w:spacing w:after="0" w:line="240" w:lineRule="auto"/>
            </w:pPr>
            <w:r>
              <w:rPr>
                <w:sz w:val="18"/>
              </w:rPr>
              <w:t>129</w:t>
            </w:r>
          </w:p>
        </w:tc>
        <w:tc>
          <w:tcPr>
            <w:tcW w:w="3180" w:type="dxa"/>
            <w:tcMar>
              <w:top w:w="0" w:type="dxa"/>
              <w:bottom w:w="0" w:type="dxa"/>
            </w:tcMar>
            <w:vAlign w:val="center"/>
          </w:tcPr>
          <w:p w14:paraId="1F2881D2" w14:textId="77777777" w:rsidR="00300EF3" w:rsidRDefault="00E42C6C">
            <w:pPr>
              <w:keepNext/>
              <w:keepLines/>
              <w:spacing w:after="0" w:line="240" w:lineRule="auto"/>
            </w:pPr>
            <w:r>
              <w:rPr>
                <w:sz w:val="18"/>
              </w:rPr>
              <w:t>Ostala potraživanja</w:t>
            </w:r>
          </w:p>
        </w:tc>
        <w:tc>
          <w:tcPr>
            <w:tcW w:w="700" w:type="dxa"/>
            <w:tcMar>
              <w:top w:w="0" w:type="dxa"/>
              <w:bottom w:w="0" w:type="dxa"/>
            </w:tcMar>
            <w:vAlign w:val="center"/>
          </w:tcPr>
          <w:p w14:paraId="70092922" w14:textId="77777777" w:rsidR="00300EF3" w:rsidRDefault="00E42C6C">
            <w:pPr>
              <w:keepNext/>
              <w:keepLines/>
              <w:spacing w:after="0" w:line="240" w:lineRule="auto"/>
            </w:pPr>
            <w:r>
              <w:rPr>
                <w:sz w:val="18"/>
              </w:rPr>
              <w:t>129</w:t>
            </w:r>
          </w:p>
        </w:tc>
        <w:tc>
          <w:tcPr>
            <w:tcW w:w="1860" w:type="dxa"/>
            <w:tcMar>
              <w:top w:w="0" w:type="dxa"/>
              <w:bottom w:w="0" w:type="dxa"/>
            </w:tcMar>
            <w:vAlign w:val="center"/>
          </w:tcPr>
          <w:p w14:paraId="2A7BE102" w14:textId="77777777" w:rsidR="00300EF3" w:rsidRDefault="00E42C6C">
            <w:pPr>
              <w:keepNext/>
              <w:keepLines/>
              <w:spacing w:after="0" w:line="240" w:lineRule="auto"/>
              <w:jc w:val="right"/>
            </w:pPr>
            <w:r>
              <w:rPr>
                <w:sz w:val="18"/>
              </w:rPr>
              <w:t>130.553,85</w:t>
            </w:r>
          </w:p>
        </w:tc>
        <w:tc>
          <w:tcPr>
            <w:tcW w:w="1860" w:type="dxa"/>
            <w:tcMar>
              <w:top w:w="0" w:type="dxa"/>
              <w:bottom w:w="0" w:type="dxa"/>
            </w:tcMar>
            <w:vAlign w:val="center"/>
          </w:tcPr>
          <w:p w14:paraId="6D73D3AE" w14:textId="77777777" w:rsidR="00300EF3" w:rsidRDefault="00E42C6C">
            <w:pPr>
              <w:keepNext/>
              <w:keepLines/>
              <w:spacing w:after="0" w:line="240" w:lineRule="auto"/>
              <w:jc w:val="right"/>
            </w:pPr>
            <w:r>
              <w:rPr>
                <w:sz w:val="18"/>
              </w:rPr>
              <w:t>185.812,73</w:t>
            </w:r>
          </w:p>
        </w:tc>
        <w:tc>
          <w:tcPr>
            <w:tcW w:w="700" w:type="dxa"/>
            <w:tcMar>
              <w:top w:w="0" w:type="dxa"/>
              <w:bottom w:w="0" w:type="dxa"/>
            </w:tcMar>
            <w:vAlign w:val="center"/>
          </w:tcPr>
          <w:p w14:paraId="0F8C9EC5" w14:textId="77777777" w:rsidR="00300EF3" w:rsidRDefault="00E42C6C">
            <w:pPr>
              <w:keepNext/>
              <w:keepLines/>
              <w:spacing w:after="0" w:line="240" w:lineRule="auto"/>
              <w:jc w:val="right"/>
            </w:pPr>
            <w:r>
              <w:rPr>
                <w:sz w:val="18"/>
              </w:rPr>
              <w:t>142,3</w:t>
            </w:r>
          </w:p>
        </w:tc>
      </w:tr>
    </w:tbl>
    <w:p w14:paraId="24904A30" w14:textId="77777777" w:rsidR="00300EF3" w:rsidRDefault="00300EF3">
      <w:pPr>
        <w:spacing w:after="0"/>
      </w:pPr>
    </w:p>
    <w:p w14:paraId="4E7AE8A1" w14:textId="77777777" w:rsidR="00300EF3" w:rsidRDefault="00E42C6C">
      <w:pPr>
        <w:jc w:val="both"/>
      </w:pPr>
      <w:r>
        <w:t>Ostala potraživanja – ostala potraživanja odnose se na refundaciju od HZZO-a za bolovanja preko 42 dana ili zbog profesionalne bolesti. Ova pozicija veća je za 55.258,88 €, odnosno za 42,3 % u odnosu na početak godine zbog dugotrajne obrade bolovanja i usporene dinamike refundacija od strane HZZO-a.</w:t>
      </w:r>
    </w:p>
    <w:p w14:paraId="5C3B567B" w14:textId="77777777" w:rsidR="00300EF3" w:rsidRDefault="00300EF3"/>
    <w:p w14:paraId="6B719F65" w14:textId="77777777" w:rsidR="00300EF3" w:rsidRDefault="00E42C6C">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50B573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FCE96B"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936DF0"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ED4F48"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0739E3" w14:textId="77777777" w:rsidR="00300EF3" w:rsidRDefault="00E42C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644718D" w14:textId="77777777" w:rsidR="00300EF3" w:rsidRDefault="00E42C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AC4F345" w14:textId="77777777" w:rsidR="00300EF3" w:rsidRDefault="00E42C6C">
            <w:pPr>
              <w:keepNext/>
              <w:keepLines/>
              <w:spacing w:after="0" w:line="240" w:lineRule="auto"/>
              <w:jc w:val="center"/>
            </w:pPr>
            <w:r>
              <w:rPr>
                <w:b/>
                <w:sz w:val="18"/>
              </w:rPr>
              <w:t>Indeks (%)</w:t>
            </w:r>
          </w:p>
        </w:tc>
      </w:tr>
      <w:tr w:rsidR="00300EF3" w14:paraId="55299DAA" w14:textId="77777777">
        <w:tblPrEx>
          <w:tblCellMar>
            <w:top w:w="0" w:type="dxa"/>
            <w:bottom w:w="0" w:type="dxa"/>
          </w:tblCellMar>
        </w:tblPrEx>
        <w:trPr>
          <w:cantSplit/>
          <w:trHeight w:val="560"/>
        </w:trPr>
        <w:tc>
          <w:tcPr>
            <w:tcW w:w="700" w:type="dxa"/>
            <w:tcMar>
              <w:top w:w="0" w:type="dxa"/>
              <w:bottom w:w="0" w:type="dxa"/>
            </w:tcMar>
            <w:vAlign w:val="center"/>
          </w:tcPr>
          <w:p w14:paraId="5C17E8D0" w14:textId="77777777" w:rsidR="00300EF3" w:rsidRDefault="00E42C6C">
            <w:pPr>
              <w:keepNext/>
              <w:keepLines/>
              <w:spacing w:after="0" w:line="240" w:lineRule="auto"/>
            </w:pPr>
            <w:r>
              <w:rPr>
                <w:sz w:val="18"/>
              </w:rPr>
              <w:t>1636</w:t>
            </w:r>
          </w:p>
        </w:tc>
        <w:tc>
          <w:tcPr>
            <w:tcW w:w="3180" w:type="dxa"/>
            <w:tcMar>
              <w:top w:w="0" w:type="dxa"/>
              <w:bottom w:w="0" w:type="dxa"/>
            </w:tcMar>
            <w:vAlign w:val="center"/>
          </w:tcPr>
          <w:p w14:paraId="1C4B6395" w14:textId="77777777" w:rsidR="00300EF3" w:rsidRDefault="00E42C6C">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14:paraId="133813D0" w14:textId="77777777" w:rsidR="00300EF3" w:rsidRDefault="00E42C6C">
            <w:pPr>
              <w:keepNext/>
              <w:keepLines/>
              <w:spacing w:after="0" w:line="240" w:lineRule="auto"/>
            </w:pPr>
            <w:r>
              <w:rPr>
                <w:sz w:val="18"/>
              </w:rPr>
              <w:t>1636</w:t>
            </w:r>
          </w:p>
        </w:tc>
        <w:tc>
          <w:tcPr>
            <w:tcW w:w="1860" w:type="dxa"/>
            <w:tcMar>
              <w:top w:w="0" w:type="dxa"/>
              <w:bottom w:w="0" w:type="dxa"/>
            </w:tcMar>
            <w:vAlign w:val="center"/>
          </w:tcPr>
          <w:p w14:paraId="695CCD61" w14:textId="77777777" w:rsidR="00300EF3" w:rsidRDefault="00E42C6C">
            <w:pPr>
              <w:keepNext/>
              <w:keepLines/>
              <w:spacing w:after="0" w:line="240" w:lineRule="auto"/>
              <w:jc w:val="right"/>
            </w:pPr>
            <w:r>
              <w:rPr>
                <w:sz w:val="18"/>
              </w:rPr>
              <w:t>0,00</w:t>
            </w:r>
          </w:p>
        </w:tc>
        <w:tc>
          <w:tcPr>
            <w:tcW w:w="1860" w:type="dxa"/>
            <w:tcMar>
              <w:top w:w="0" w:type="dxa"/>
              <w:bottom w:w="0" w:type="dxa"/>
            </w:tcMar>
            <w:vAlign w:val="center"/>
          </w:tcPr>
          <w:p w14:paraId="283FF2A2" w14:textId="77777777" w:rsidR="00300EF3" w:rsidRDefault="00E42C6C">
            <w:pPr>
              <w:keepNext/>
              <w:keepLines/>
              <w:spacing w:after="0" w:line="240" w:lineRule="auto"/>
              <w:jc w:val="right"/>
            </w:pPr>
            <w:r>
              <w:rPr>
                <w:sz w:val="18"/>
              </w:rPr>
              <w:t>3.480,63</w:t>
            </w:r>
          </w:p>
        </w:tc>
        <w:tc>
          <w:tcPr>
            <w:tcW w:w="700" w:type="dxa"/>
            <w:tcMar>
              <w:top w:w="0" w:type="dxa"/>
              <w:bottom w:w="0" w:type="dxa"/>
            </w:tcMar>
            <w:vAlign w:val="center"/>
          </w:tcPr>
          <w:p w14:paraId="384BF603" w14:textId="77777777" w:rsidR="00300EF3" w:rsidRDefault="00E42C6C">
            <w:pPr>
              <w:keepNext/>
              <w:keepLines/>
              <w:spacing w:after="0" w:line="240" w:lineRule="auto"/>
              <w:jc w:val="right"/>
            </w:pPr>
            <w:r>
              <w:rPr>
                <w:sz w:val="18"/>
              </w:rPr>
              <w:t>-</w:t>
            </w:r>
          </w:p>
        </w:tc>
      </w:tr>
    </w:tbl>
    <w:p w14:paraId="38927506" w14:textId="77777777" w:rsidR="00300EF3" w:rsidRDefault="00300EF3">
      <w:pPr>
        <w:spacing w:after="0"/>
      </w:pPr>
    </w:p>
    <w:p w14:paraId="65A04117" w14:textId="77777777" w:rsidR="00300EF3" w:rsidRDefault="00E42C6C">
      <w:pPr>
        <w:jc w:val="both"/>
      </w:pPr>
      <w:r>
        <w:t>Potraživanja za pomoći proračunskim korisnicima iz proračuna koji im nije nadležan – na ovoj poziciji iskazana su potraživanja od Ministarstva zdravstva za usluge pružene osobama iz Ukrajine. Na početku godine nije bilo iskazanih potraživanja po ovoj osnovi dok na kraju godine potraživanja iznose 3.480,63 €.</w:t>
      </w:r>
    </w:p>
    <w:p w14:paraId="4FEE0E5C" w14:textId="77777777" w:rsidR="00300EF3" w:rsidRDefault="00300EF3"/>
    <w:p w14:paraId="7AA9B4B0" w14:textId="77777777" w:rsidR="00300EF3" w:rsidRDefault="00E42C6C">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0C37DB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85B8E6"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133E3A"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46F569"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419BC7" w14:textId="77777777" w:rsidR="00300EF3" w:rsidRDefault="00E42C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2020AF1" w14:textId="77777777" w:rsidR="00300EF3" w:rsidRDefault="00E42C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36A9DE2" w14:textId="77777777" w:rsidR="00300EF3" w:rsidRDefault="00E42C6C">
            <w:pPr>
              <w:keepNext/>
              <w:keepLines/>
              <w:spacing w:after="0" w:line="240" w:lineRule="auto"/>
              <w:jc w:val="center"/>
            </w:pPr>
            <w:r>
              <w:rPr>
                <w:b/>
                <w:sz w:val="18"/>
              </w:rPr>
              <w:t>Indeks (%)</w:t>
            </w:r>
          </w:p>
        </w:tc>
      </w:tr>
      <w:tr w:rsidR="00300EF3" w14:paraId="7C9E3246" w14:textId="77777777">
        <w:tblPrEx>
          <w:tblCellMar>
            <w:top w:w="0" w:type="dxa"/>
            <w:bottom w:w="0" w:type="dxa"/>
          </w:tblCellMar>
        </w:tblPrEx>
        <w:trPr>
          <w:cantSplit/>
          <w:trHeight w:val="560"/>
        </w:trPr>
        <w:tc>
          <w:tcPr>
            <w:tcW w:w="700" w:type="dxa"/>
            <w:tcMar>
              <w:top w:w="0" w:type="dxa"/>
              <w:bottom w:w="0" w:type="dxa"/>
            </w:tcMar>
            <w:vAlign w:val="center"/>
          </w:tcPr>
          <w:p w14:paraId="55E2A1D4" w14:textId="77777777" w:rsidR="00300EF3" w:rsidRDefault="00E42C6C">
            <w:pPr>
              <w:keepNext/>
              <w:keepLines/>
              <w:spacing w:after="0" w:line="240" w:lineRule="auto"/>
            </w:pPr>
            <w:r>
              <w:rPr>
                <w:sz w:val="18"/>
              </w:rPr>
              <w:t>1638</w:t>
            </w:r>
          </w:p>
        </w:tc>
        <w:tc>
          <w:tcPr>
            <w:tcW w:w="3180" w:type="dxa"/>
            <w:tcMar>
              <w:top w:w="0" w:type="dxa"/>
              <w:bottom w:w="0" w:type="dxa"/>
            </w:tcMar>
            <w:vAlign w:val="center"/>
          </w:tcPr>
          <w:p w14:paraId="726726B7" w14:textId="77777777" w:rsidR="00300EF3" w:rsidRDefault="00E42C6C">
            <w:pPr>
              <w:keepNext/>
              <w:keepLines/>
              <w:spacing w:after="0" w:line="240" w:lineRule="auto"/>
            </w:pPr>
            <w:r>
              <w:rPr>
                <w:sz w:val="18"/>
              </w:rPr>
              <w:t>Potraživanja za pomoći temeljem prijenosa EU sredstava</w:t>
            </w:r>
          </w:p>
        </w:tc>
        <w:tc>
          <w:tcPr>
            <w:tcW w:w="700" w:type="dxa"/>
            <w:tcMar>
              <w:top w:w="0" w:type="dxa"/>
              <w:bottom w:w="0" w:type="dxa"/>
            </w:tcMar>
            <w:vAlign w:val="center"/>
          </w:tcPr>
          <w:p w14:paraId="7A453F7A" w14:textId="77777777" w:rsidR="00300EF3" w:rsidRDefault="00E42C6C">
            <w:pPr>
              <w:keepNext/>
              <w:keepLines/>
              <w:spacing w:after="0" w:line="240" w:lineRule="auto"/>
            </w:pPr>
            <w:r>
              <w:rPr>
                <w:sz w:val="18"/>
              </w:rPr>
              <w:t>1638</w:t>
            </w:r>
          </w:p>
        </w:tc>
        <w:tc>
          <w:tcPr>
            <w:tcW w:w="1860" w:type="dxa"/>
            <w:tcMar>
              <w:top w:w="0" w:type="dxa"/>
              <w:bottom w:w="0" w:type="dxa"/>
            </w:tcMar>
            <w:vAlign w:val="center"/>
          </w:tcPr>
          <w:p w14:paraId="4DA1150B" w14:textId="77777777" w:rsidR="00300EF3" w:rsidRDefault="00E42C6C">
            <w:pPr>
              <w:keepNext/>
              <w:keepLines/>
              <w:spacing w:after="0" w:line="240" w:lineRule="auto"/>
              <w:jc w:val="right"/>
            </w:pPr>
            <w:r>
              <w:rPr>
                <w:sz w:val="18"/>
              </w:rPr>
              <w:t>15.144,32</w:t>
            </w:r>
          </w:p>
        </w:tc>
        <w:tc>
          <w:tcPr>
            <w:tcW w:w="1860" w:type="dxa"/>
            <w:tcMar>
              <w:top w:w="0" w:type="dxa"/>
              <w:bottom w:w="0" w:type="dxa"/>
            </w:tcMar>
            <w:vAlign w:val="center"/>
          </w:tcPr>
          <w:p w14:paraId="37B12C3A" w14:textId="77777777" w:rsidR="00300EF3" w:rsidRDefault="00E42C6C">
            <w:pPr>
              <w:keepNext/>
              <w:keepLines/>
              <w:spacing w:after="0" w:line="240" w:lineRule="auto"/>
              <w:jc w:val="right"/>
            </w:pPr>
            <w:r>
              <w:rPr>
                <w:sz w:val="18"/>
              </w:rPr>
              <w:t>21.391,42</w:t>
            </w:r>
          </w:p>
        </w:tc>
        <w:tc>
          <w:tcPr>
            <w:tcW w:w="700" w:type="dxa"/>
            <w:tcMar>
              <w:top w:w="0" w:type="dxa"/>
              <w:bottom w:w="0" w:type="dxa"/>
            </w:tcMar>
            <w:vAlign w:val="center"/>
          </w:tcPr>
          <w:p w14:paraId="22FA6FC2" w14:textId="77777777" w:rsidR="00300EF3" w:rsidRDefault="00E42C6C">
            <w:pPr>
              <w:keepNext/>
              <w:keepLines/>
              <w:spacing w:after="0" w:line="240" w:lineRule="auto"/>
              <w:jc w:val="right"/>
            </w:pPr>
            <w:r>
              <w:rPr>
                <w:sz w:val="18"/>
              </w:rPr>
              <w:t>141,3</w:t>
            </w:r>
          </w:p>
        </w:tc>
      </w:tr>
    </w:tbl>
    <w:p w14:paraId="5BFBAE99" w14:textId="77777777" w:rsidR="00300EF3" w:rsidRDefault="00300EF3">
      <w:pPr>
        <w:spacing w:after="0"/>
      </w:pPr>
    </w:p>
    <w:p w14:paraId="6166177F" w14:textId="77777777" w:rsidR="00300EF3" w:rsidRDefault="00E42C6C">
      <w:pPr>
        <w:jc w:val="both"/>
      </w:pPr>
      <w:r>
        <w:t>Potraživanja za pomoći temeljem prijenosa EU sredstava – odnose se na potraživanja za specijalističko usavršavanje doktora medicine i medicinskih tehničara iz Nacionalnog plana oporavka i otpornosti. Na kraju 2025.g. potraživanja su veća za 6.247,10 € odnosno za 41,3 % jer sadrže potraživanja za rashode specijalističkog usavršavanja od kolovoza do listopada 2025.g. za doktore medicine.</w:t>
      </w:r>
    </w:p>
    <w:p w14:paraId="24A03CE7" w14:textId="77777777" w:rsidR="00300EF3" w:rsidRDefault="00300EF3"/>
    <w:p w14:paraId="324D349F" w14:textId="77777777" w:rsidR="00300EF3" w:rsidRDefault="00E42C6C">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0AD127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E89545"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B36C48"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4DD56F"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01BD8C" w14:textId="77777777" w:rsidR="00300EF3" w:rsidRDefault="00E42C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BD15C81" w14:textId="77777777" w:rsidR="00300EF3" w:rsidRDefault="00E42C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D6A6FF" w14:textId="77777777" w:rsidR="00300EF3" w:rsidRDefault="00E42C6C">
            <w:pPr>
              <w:keepNext/>
              <w:keepLines/>
              <w:spacing w:after="0" w:line="240" w:lineRule="auto"/>
              <w:jc w:val="center"/>
            </w:pPr>
            <w:r>
              <w:rPr>
                <w:b/>
                <w:sz w:val="18"/>
              </w:rPr>
              <w:t>Indeks (%)</w:t>
            </w:r>
          </w:p>
        </w:tc>
      </w:tr>
      <w:tr w:rsidR="00300EF3" w14:paraId="60A12678" w14:textId="77777777">
        <w:tblPrEx>
          <w:tblCellMar>
            <w:top w:w="0" w:type="dxa"/>
            <w:bottom w:w="0" w:type="dxa"/>
          </w:tblCellMar>
        </w:tblPrEx>
        <w:trPr>
          <w:cantSplit/>
          <w:trHeight w:val="560"/>
        </w:trPr>
        <w:tc>
          <w:tcPr>
            <w:tcW w:w="700" w:type="dxa"/>
            <w:tcMar>
              <w:top w:w="0" w:type="dxa"/>
              <w:bottom w:w="0" w:type="dxa"/>
            </w:tcMar>
            <w:vAlign w:val="center"/>
          </w:tcPr>
          <w:p w14:paraId="14F2BE46" w14:textId="77777777" w:rsidR="00300EF3" w:rsidRDefault="00E42C6C">
            <w:pPr>
              <w:keepNext/>
              <w:keepLines/>
              <w:spacing w:after="0" w:line="240" w:lineRule="auto"/>
            </w:pPr>
            <w:r>
              <w:rPr>
                <w:sz w:val="18"/>
              </w:rPr>
              <w:t>166</w:t>
            </w:r>
          </w:p>
        </w:tc>
        <w:tc>
          <w:tcPr>
            <w:tcW w:w="3180" w:type="dxa"/>
            <w:tcMar>
              <w:top w:w="0" w:type="dxa"/>
              <w:bottom w:w="0" w:type="dxa"/>
            </w:tcMar>
            <w:vAlign w:val="center"/>
          </w:tcPr>
          <w:p w14:paraId="3F7A425F" w14:textId="77777777" w:rsidR="00300EF3" w:rsidRDefault="00E42C6C">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5051002A" w14:textId="77777777" w:rsidR="00300EF3" w:rsidRDefault="00E42C6C">
            <w:pPr>
              <w:keepNext/>
              <w:keepLines/>
              <w:spacing w:after="0" w:line="240" w:lineRule="auto"/>
            </w:pPr>
            <w:r>
              <w:rPr>
                <w:sz w:val="18"/>
              </w:rPr>
              <w:t>166</w:t>
            </w:r>
          </w:p>
        </w:tc>
        <w:tc>
          <w:tcPr>
            <w:tcW w:w="1860" w:type="dxa"/>
            <w:tcMar>
              <w:top w:w="0" w:type="dxa"/>
              <w:bottom w:w="0" w:type="dxa"/>
            </w:tcMar>
            <w:vAlign w:val="center"/>
          </w:tcPr>
          <w:p w14:paraId="4E803A4D" w14:textId="77777777" w:rsidR="00300EF3" w:rsidRDefault="00E42C6C">
            <w:pPr>
              <w:keepNext/>
              <w:keepLines/>
              <w:spacing w:after="0" w:line="240" w:lineRule="auto"/>
              <w:jc w:val="right"/>
            </w:pPr>
            <w:r>
              <w:rPr>
                <w:sz w:val="18"/>
              </w:rPr>
              <w:t>61.541,85</w:t>
            </w:r>
          </w:p>
        </w:tc>
        <w:tc>
          <w:tcPr>
            <w:tcW w:w="1860" w:type="dxa"/>
            <w:tcMar>
              <w:top w:w="0" w:type="dxa"/>
              <w:bottom w:w="0" w:type="dxa"/>
            </w:tcMar>
            <w:vAlign w:val="center"/>
          </w:tcPr>
          <w:p w14:paraId="28497D28" w14:textId="77777777" w:rsidR="00300EF3" w:rsidRDefault="00E42C6C">
            <w:pPr>
              <w:keepNext/>
              <w:keepLines/>
              <w:spacing w:after="0" w:line="240" w:lineRule="auto"/>
              <w:jc w:val="right"/>
            </w:pPr>
            <w:r>
              <w:rPr>
                <w:sz w:val="18"/>
              </w:rPr>
              <w:t>80.297,72</w:t>
            </w:r>
          </w:p>
        </w:tc>
        <w:tc>
          <w:tcPr>
            <w:tcW w:w="700" w:type="dxa"/>
            <w:tcMar>
              <w:top w:w="0" w:type="dxa"/>
              <w:bottom w:w="0" w:type="dxa"/>
            </w:tcMar>
            <w:vAlign w:val="center"/>
          </w:tcPr>
          <w:p w14:paraId="26533190" w14:textId="77777777" w:rsidR="00300EF3" w:rsidRDefault="00E42C6C">
            <w:pPr>
              <w:keepNext/>
              <w:keepLines/>
              <w:spacing w:after="0" w:line="240" w:lineRule="auto"/>
              <w:jc w:val="right"/>
            </w:pPr>
            <w:r>
              <w:rPr>
                <w:sz w:val="18"/>
              </w:rPr>
              <w:t>130,5</w:t>
            </w:r>
          </w:p>
        </w:tc>
      </w:tr>
    </w:tbl>
    <w:p w14:paraId="214DBC89" w14:textId="77777777" w:rsidR="00300EF3" w:rsidRDefault="00300EF3">
      <w:pPr>
        <w:spacing w:after="0"/>
      </w:pPr>
    </w:p>
    <w:p w14:paraId="3E469FAC" w14:textId="77777777" w:rsidR="00300EF3" w:rsidRDefault="00E42C6C">
      <w:pPr>
        <w:jc w:val="both"/>
      </w:pPr>
      <w:r>
        <w:t>Potraživanja za prihode od prodaje proizvoda i robe te pruženih usluga – potraživanja za pružene usluge su veća za 18.755,87 € odnosno za 30,5 % u odnosu na početak godine i najvećim dijelom se odnose na usluge pružene stranim državljanima zbog čega je dugotrajniji postupak naplate. </w:t>
      </w:r>
    </w:p>
    <w:p w14:paraId="36686366" w14:textId="77777777" w:rsidR="00300EF3" w:rsidRDefault="00300EF3"/>
    <w:p w14:paraId="5DBA18B2" w14:textId="77777777" w:rsidR="00300EF3" w:rsidRDefault="00E42C6C">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54FD93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5239EF"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85546D"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04A1D3"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C11FC0" w14:textId="77777777" w:rsidR="00300EF3" w:rsidRDefault="00E42C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5EBEB96" w14:textId="77777777" w:rsidR="00300EF3" w:rsidRDefault="00E42C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6B97D02" w14:textId="77777777" w:rsidR="00300EF3" w:rsidRDefault="00E42C6C">
            <w:pPr>
              <w:keepNext/>
              <w:keepLines/>
              <w:spacing w:after="0" w:line="240" w:lineRule="auto"/>
              <w:jc w:val="center"/>
            </w:pPr>
            <w:r>
              <w:rPr>
                <w:b/>
                <w:sz w:val="18"/>
              </w:rPr>
              <w:t>Indeks (%)</w:t>
            </w:r>
          </w:p>
        </w:tc>
      </w:tr>
      <w:tr w:rsidR="00300EF3" w14:paraId="3C9A7975" w14:textId="77777777">
        <w:tblPrEx>
          <w:tblCellMar>
            <w:top w:w="0" w:type="dxa"/>
            <w:bottom w:w="0" w:type="dxa"/>
          </w:tblCellMar>
        </w:tblPrEx>
        <w:trPr>
          <w:cantSplit/>
          <w:trHeight w:val="560"/>
        </w:trPr>
        <w:tc>
          <w:tcPr>
            <w:tcW w:w="700" w:type="dxa"/>
            <w:tcMar>
              <w:top w:w="0" w:type="dxa"/>
              <w:bottom w:w="0" w:type="dxa"/>
            </w:tcMar>
            <w:vAlign w:val="center"/>
          </w:tcPr>
          <w:p w14:paraId="1F0938E2" w14:textId="77777777" w:rsidR="00300EF3" w:rsidRDefault="00E42C6C">
            <w:pPr>
              <w:keepNext/>
              <w:keepLines/>
              <w:spacing w:after="0" w:line="240" w:lineRule="auto"/>
            </w:pPr>
            <w:r>
              <w:rPr>
                <w:sz w:val="18"/>
              </w:rPr>
              <w:t>167</w:t>
            </w:r>
          </w:p>
        </w:tc>
        <w:tc>
          <w:tcPr>
            <w:tcW w:w="3180" w:type="dxa"/>
            <w:tcMar>
              <w:top w:w="0" w:type="dxa"/>
              <w:bottom w:w="0" w:type="dxa"/>
            </w:tcMar>
            <w:vAlign w:val="center"/>
          </w:tcPr>
          <w:p w14:paraId="3FD80141" w14:textId="77777777" w:rsidR="00300EF3" w:rsidRDefault="00E42C6C">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5CB4FB92" w14:textId="77777777" w:rsidR="00300EF3" w:rsidRDefault="00E42C6C">
            <w:pPr>
              <w:keepNext/>
              <w:keepLines/>
              <w:spacing w:after="0" w:line="240" w:lineRule="auto"/>
            </w:pPr>
            <w:r>
              <w:rPr>
                <w:sz w:val="18"/>
              </w:rPr>
              <w:t>167</w:t>
            </w:r>
          </w:p>
        </w:tc>
        <w:tc>
          <w:tcPr>
            <w:tcW w:w="1860" w:type="dxa"/>
            <w:tcMar>
              <w:top w:w="0" w:type="dxa"/>
              <w:bottom w:w="0" w:type="dxa"/>
            </w:tcMar>
            <w:vAlign w:val="center"/>
          </w:tcPr>
          <w:p w14:paraId="2623EB87" w14:textId="77777777" w:rsidR="00300EF3" w:rsidRDefault="00E42C6C">
            <w:pPr>
              <w:keepNext/>
              <w:keepLines/>
              <w:spacing w:after="0" w:line="240" w:lineRule="auto"/>
              <w:jc w:val="right"/>
            </w:pPr>
            <w:r>
              <w:rPr>
                <w:sz w:val="18"/>
              </w:rPr>
              <w:t>2.362.779,89</w:t>
            </w:r>
          </w:p>
        </w:tc>
        <w:tc>
          <w:tcPr>
            <w:tcW w:w="1860" w:type="dxa"/>
            <w:tcMar>
              <w:top w:w="0" w:type="dxa"/>
              <w:bottom w:w="0" w:type="dxa"/>
            </w:tcMar>
            <w:vAlign w:val="center"/>
          </w:tcPr>
          <w:p w14:paraId="4B0F6B91" w14:textId="77777777" w:rsidR="00300EF3" w:rsidRDefault="00E42C6C">
            <w:pPr>
              <w:keepNext/>
              <w:keepLines/>
              <w:spacing w:after="0" w:line="240" w:lineRule="auto"/>
              <w:jc w:val="right"/>
            </w:pPr>
            <w:r>
              <w:rPr>
                <w:sz w:val="18"/>
              </w:rPr>
              <w:t>2.532.792,97</w:t>
            </w:r>
          </w:p>
        </w:tc>
        <w:tc>
          <w:tcPr>
            <w:tcW w:w="700" w:type="dxa"/>
            <w:tcMar>
              <w:top w:w="0" w:type="dxa"/>
              <w:bottom w:w="0" w:type="dxa"/>
            </w:tcMar>
            <w:vAlign w:val="center"/>
          </w:tcPr>
          <w:p w14:paraId="299E6521" w14:textId="77777777" w:rsidR="00300EF3" w:rsidRDefault="00E42C6C">
            <w:pPr>
              <w:keepNext/>
              <w:keepLines/>
              <w:spacing w:after="0" w:line="240" w:lineRule="auto"/>
              <w:jc w:val="right"/>
            </w:pPr>
            <w:r>
              <w:rPr>
                <w:sz w:val="18"/>
              </w:rPr>
              <w:t>107,2</w:t>
            </w:r>
          </w:p>
        </w:tc>
      </w:tr>
    </w:tbl>
    <w:p w14:paraId="0D324883" w14:textId="77777777" w:rsidR="00300EF3" w:rsidRDefault="00300EF3">
      <w:pPr>
        <w:spacing w:after="0"/>
      </w:pPr>
    </w:p>
    <w:p w14:paraId="5D14763F" w14:textId="77777777" w:rsidR="00300EF3" w:rsidRDefault="00E42C6C">
      <w:pPr>
        <w:jc w:val="both"/>
      </w:pPr>
      <w:r>
        <w:t>Potraživanja proračunskih korisnika za sredstava uplaćena u nadležni proračun i za prihode od HZZO-a na temelju ugovorenih obveza – ova pozicija odnosi se na potraživanja od HZZO-a koja su na kraju 2025.g. veća za 170.013,08 € odnosno za 7,2 % u odnosu na početak godine jer je proširen sastav timova hitne medicine i sanitetskog prijevoza i veće su ugovorene vrijednosti  timova.   </w:t>
      </w:r>
    </w:p>
    <w:p w14:paraId="7509329D" w14:textId="77777777" w:rsidR="00300EF3" w:rsidRDefault="00300EF3"/>
    <w:p w14:paraId="7CE7A82B" w14:textId="77777777" w:rsidR="00300EF3" w:rsidRDefault="00E42C6C">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404A92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2B72A1"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D971D1"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F024EA"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C4CB26" w14:textId="77777777" w:rsidR="00300EF3" w:rsidRDefault="00E42C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2B235BC" w14:textId="77777777" w:rsidR="00300EF3" w:rsidRDefault="00E42C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9C471B2" w14:textId="77777777" w:rsidR="00300EF3" w:rsidRDefault="00E42C6C">
            <w:pPr>
              <w:keepNext/>
              <w:keepLines/>
              <w:spacing w:after="0" w:line="240" w:lineRule="auto"/>
              <w:jc w:val="center"/>
            </w:pPr>
            <w:r>
              <w:rPr>
                <w:b/>
                <w:sz w:val="18"/>
              </w:rPr>
              <w:t>Indeks (%)</w:t>
            </w:r>
          </w:p>
        </w:tc>
      </w:tr>
      <w:tr w:rsidR="00300EF3" w14:paraId="2FD99387" w14:textId="77777777">
        <w:tblPrEx>
          <w:tblCellMar>
            <w:top w:w="0" w:type="dxa"/>
            <w:bottom w:w="0" w:type="dxa"/>
          </w:tblCellMar>
        </w:tblPrEx>
        <w:trPr>
          <w:cantSplit/>
          <w:trHeight w:val="560"/>
        </w:trPr>
        <w:tc>
          <w:tcPr>
            <w:tcW w:w="700" w:type="dxa"/>
            <w:tcMar>
              <w:top w:w="0" w:type="dxa"/>
              <w:bottom w:w="0" w:type="dxa"/>
            </w:tcMar>
            <w:vAlign w:val="center"/>
          </w:tcPr>
          <w:p w14:paraId="07D01020" w14:textId="77777777" w:rsidR="00300EF3" w:rsidRDefault="00E42C6C">
            <w:pPr>
              <w:keepNext/>
              <w:keepLines/>
              <w:spacing w:after="0" w:line="240" w:lineRule="auto"/>
            </w:pPr>
            <w:r>
              <w:rPr>
                <w:sz w:val="18"/>
              </w:rPr>
              <w:t>169</w:t>
            </w:r>
          </w:p>
        </w:tc>
        <w:tc>
          <w:tcPr>
            <w:tcW w:w="3180" w:type="dxa"/>
            <w:tcMar>
              <w:top w:w="0" w:type="dxa"/>
              <w:bottom w:w="0" w:type="dxa"/>
            </w:tcMar>
            <w:vAlign w:val="center"/>
          </w:tcPr>
          <w:p w14:paraId="54075458" w14:textId="77777777" w:rsidR="00300EF3" w:rsidRDefault="00E42C6C">
            <w:pPr>
              <w:keepNext/>
              <w:keepLines/>
              <w:spacing w:after="0" w:line="240" w:lineRule="auto"/>
            </w:pPr>
            <w:r>
              <w:rPr>
                <w:sz w:val="18"/>
              </w:rPr>
              <w:t>Ispravak vrijednosti potraživanja</w:t>
            </w:r>
          </w:p>
        </w:tc>
        <w:tc>
          <w:tcPr>
            <w:tcW w:w="700" w:type="dxa"/>
            <w:tcMar>
              <w:top w:w="0" w:type="dxa"/>
              <w:bottom w:w="0" w:type="dxa"/>
            </w:tcMar>
            <w:vAlign w:val="center"/>
          </w:tcPr>
          <w:p w14:paraId="383BA111" w14:textId="77777777" w:rsidR="00300EF3" w:rsidRDefault="00E42C6C">
            <w:pPr>
              <w:keepNext/>
              <w:keepLines/>
              <w:spacing w:after="0" w:line="240" w:lineRule="auto"/>
            </w:pPr>
            <w:r>
              <w:rPr>
                <w:sz w:val="18"/>
              </w:rPr>
              <w:t>169</w:t>
            </w:r>
          </w:p>
        </w:tc>
        <w:tc>
          <w:tcPr>
            <w:tcW w:w="1860" w:type="dxa"/>
            <w:tcMar>
              <w:top w:w="0" w:type="dxa"/>
              <w:bottom w:w="0" w:type="dxa"/>
            </w:tcMar>
            <w:vAlign w:val="center"/>
          </w:tcPr>
          <w:p w14:paraId="629ECEA2" w14:textId="77777777" w:rsidR="00300EF3" w:rsidRDefault="00E42C6C">
            <w:pPr>
              <w:keepNext/>
              <w:keepLines/>
              <w:spacing w:after="0" w:line="240" w:lineRule="auto"/>
              <w:jc w:val="right"/>
            </w:pPr>
            <w:r>
              <w:rPr>
                <w:sz w:val="18"/>
              </w:rPr>
              <w:t>6.060,01</w:t>
            </w:r>
          </w:p>
        </w:tc>
        <w:tc>
          <w:tcPr>
            <w:tcW w:w="1860" w:type="dxa"/>
            <w:tcMar>
              <w:top w:w="0" w:type="dxa"/>
              <w:bottom w:w="0" w:type="dxa"/>
            </w:tcMar>
            <w:vAlign w:val="center"/>
          </w:tcPr>
          <w:p w14:paraId="016A054E" w14:textId="77777777" w:rsidR="00300EF3" w:rsidRDefault="00E42C6C">
            <w:pPr>
              <w:keepNext/>
              <w:keepLines/>
              <w:spacing w:after="0" w:line="240" w:lineRule="auto"/>
              <w:jc w:val="right"/>
            </w:pPr>
            <w:r>
              <w:rPr>
                <w:sz w:val="18"/>
              </w:rPr>
              <w:t>11.909,07</w:t>
            </w:r>
          </w:p>
        </w:tc>
        <w:tc>
          <w:tcPr>
            <w:tcW w:w="700" w:type="dxa"/>
            <w:tcMar>
              <w:top w:w="0" w:type="dxa"/>
              <w:bottom w:w="0" w:type="dxa"/>
            </w:tcMar>
            <w:vAlign w:val="center"/>
          </w:tcPr>
          <w:p w14:paraId="5B5A3CC1" w14:textId="77777777" w:rsidR="00300EF3" w:rsidRDefault="00E42C6C">
            <w:pPr>
              <w:keepNext/>
              <w:keepLines/>
              <w:spacing w:after="0" w:line="240" w:lineRule="auto"/>
              <w:jc w:val="right"/>
            </w:pPr>
            <w:r>
              <w:rPr>
                <w:sz w:val="18"/>
              </w:rPr>
              <w:t>196,5</w:t>
            </w:r>
          </w:p>
        </w:tc>
      </w:tr>
    </w:tbl>
    <w:p w14:paraId="48FD780F" w14:textId="77777777" w:rsidR="00300EF3" w:rsidRDefault="00300EF3">
      <w:pPr>
        <w:spacing w:after="0"/>
      </w:pPr>
    </w:p>
    <w:p w14:paraId="3EF3C55F" w14:textId="77777777" w:rsidR="00300EF3" w:rsidRDefault="00E42C6C">
      <w:pPr>
        <w:jc w:val="both"/>
      </w:pPr>
      <w:r>
        <w:t>Ispravak vrijednosti potraživanja – sukladno novom Pravilniku o proračunskom računovodstvu izvršena je ispravka potraživanja od stranaca za kašnjenja u naplati preko dvije godine dana (ispravljano po jedinstvenoj stopi od 100%).</w:t>
      </w:r>
    </w:p>
    <w:p w14:paraId="28E792E6" w14:textId="77777777" w:rsidR="00300EF3" w:rsidRDefault="00300EF3"/>
    <w:p w14:paraId="56FB3CAC" w14:textId="77777777" w:rsidR="00300EF3" w:rsidRDefault="00E42C6C">
      <w:pPr>
        <w:keepNext/>
        <w:spacing w:line="240" w:lineRule="auto"/>
        <w:jc w:val="center"/>
      </w:pPr>
      <w:r>
        <w:rPr>
          <w:sz w:val="28"/>
        </w:rPr>
        <w:lastRenderedPageBreak/>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3CC8BC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537862"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3E4901"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837984"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D981BD" w14:textId="77777777" w:rsidR="00300EF3" w:rsidRDefault="00E42C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952FFC2" w14:textId="77777777" w:rsidR="00300EF3" w:rsidRDefault="00E42C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02A95FC" w14:textId="77777777" w:rsidR="00300EF3" w:rsidRDefault="00E42C6C">
            <w:pPr>
              <w:keepNext/>
              <w:keepLines/>
              <w:spacing w:after="0" w:line="240" w:lineRule="auto"/>
              <w:jc w:val="center"/>
            </w:pPr>
            <w:r>
              <w:rPr>
                <w:b/>
                <w:sz w:val="18"/>
              </w:rPr>
              <w:t>Indeks (%)</w:t>
            </w:r>
          </w:p>
        </w:tc>
      </w:tr>
      <w:tr w:rsidR="00300EF3" w14:paraId="52D0F9BE" w14:textId="77777777">
        <w:tblPrEx>
          <w:tblCellMar>
            <w:top w:w="0" w:type="dxa"/>
            <w:bottom w:w="0" w:type="dxa"/>
          </w:tblCellMar>
        </w:tblPrEx>
        <w:trPr>
          <w:cantSplit/>
          <w:trHeight w:val="560"/>
        </w:trPr>
        <w:tc>
          <w:tcPr>
            <w:tcW w:w="700" w:type="dxa"/>
            <w:tcMar>
              <w:top w:w="0" w:type="dxa"/>
              <w:bottom w:w="0" w:type="dxa"/>
            </w:tcMar>
            <w:vAlign w:val="center"/>
          </w:tcPr>
          <w:p w14:paraId="7BF7B0BD" w14:textId="77777777" w:rsidR="00300EF3" w:rsidRDefault="00E42C6C">
            <w:pPr>
              <w:keepNext/>
              <w:keepLines/>
              <w:spacing w:after="0" w:line="240" w:lineRule="auto"/>
            </w:pPr>
            <w:r>
              <w:rPr>
                <w:sz w:val="18"/>
              </w:rPr>
              <w:t>172</w:t>
            </w:r>
          </w:p>
        </w:tc>
        <w:tc>
          <w:tcPr>
            <w:tcW w:w="3180" w:type="dxa"/>
            <w:tcMar>
              <w:top w:w="0" w:type="dxa"/>
              <w:bottom w:w="0" w:type="dxa"/>
            </w:tcMar>
            <w:vAlign w:val="center"/>
          </w:tcPr>
          <w:p w14:paraId="6844323A" w14:textId="77777777" w:rsidR="00300EF3" w:rsidRDefault="00E42C6C">
            <w:pPr>
              <w:keepNext/>
              <w:keepLines/>
              <w:spacing w:after="0" w:line="240" w:lineRule="auto"/>
            </w:pPr>
            <w:r>
              <w:rPr>
                <w:sz w:val="18"/>
              </w:rPr>
              <w:t>Potraživanja od prodaje proizvedene dugotrajne imovine</w:t>
            </w:r>
          </w:p>
        </w:tc>
        <w:tc>
          <w:tcPr>
            <w:tcW w:w="700" w:type="dxa"/>
            <w:tcMar>
              <w:top w:w="0" w:type="dxa"/>
              <w:bottom w:w="0" w:type="dxa"/>
            </w:tcMar>
            <w:vAlign w:val="center"/>
          </w:tcPr>
          <w:p w14:paraId="1B47C6BF" w14:textId="77777777" w:rsidR="00300EF3" w:rsidRDefault="00E42C6C">
            <w:pPr>
              <w:keepNext/>
              <w:keepLines/>
              <w:spacing w:after="0" w:line="240" w:lineRule="auto"/>
            </w:pPr>
            <w:r>
              <w:rPr>
                <w:sz w:val="18"/>
              </w:rPr>
              <w:t>172</w:t>
            </w:r>
          </w:p>
        </w:tc>
        <w:tc>
          <w:tcPr>
            <w:tcW w:w="1860" w:type="dxa"/>
            <w:tcMar>
              <w:top w:w="0" w:type="dxa"/>
              <w:bottom w:w="0" w:type="dxa"/>
            </w:tcMar>
            <w:vAlign w:val="center"/>
          </w:tcPr>
          <w:p w14:paraId="2BA0418A" w14:textId="77777777" w:rsidR="00300EF3" w:rsidRDefault="00E42C6C">
            <w:pPr>
              <w:keepNext/>
              <w:keepLines/>
              <w:spacing w:after="0" w:line="240" w:lineRule="auto"/>
              <w:jc w:val="right"/>
            </w:pPr>
            <w:r>
              <w:rPr>
                <w:sz w:val="18"/>
              </w:rPr>
              <w:t>13,95</w:t>
            </w:r>
          </w:p>
        </w:tc>
        <w:tc>
          <w:tcPr>
            <w:tcW w:w="1860" w:type="dxa"/>
            <w:tcMar>
              <w:top w:w="0" w:type="dxa"/>
              <w:bottom w:w="0" w:type="dxa"/>
            </w:tcMar>
            <w:vAlign w:val="center"/>
          </w:tcPr>
          <w:p w14:paraId="3DFF0ECB" w14:textId="77777777" w:rsidR="00300EF3" w:rsidRDefault="00E42C6C">
            <w:pPr>
              <w:keepNext/>
              <w:keepLines/>
              <w:spacing w:after="0" w:line="240" w:lineRule="auto"/>
              <w:jc w:val="right"/>
            </w:pPr>
            <w:r>
              <w:rPr>
                <w:sz w:val="18"/>
              </w:rPr>
              <w:t>0,00</w:t>
            </w:r>
          </w:p>
        </w:tc>
        <w:tc>
          <w:tcPr>
            <w:tcW w:w="700" w:type="dxa"/>
            <w:tcMar>
              <w:top w:w="0" w:type="dxa"/>
              <w:bottom w:w="0" w:type="dxa"/>
            </w:tcMar>
            <w:vAlign w:val="center"/>
          </w:tcPr>
          <w:p w14:paraId="7CE75C68" w14:textId="77777777" w:rsidR="00300EF3" w:rsidRDefault="00E42C6C">
            <w:pPr>
              <w:keepNext/>
              <w:keepLines/>
              <w:spacing w:after="0" w:line="240" w:lineRule="auto"/>
              <w:jc w:val="right"/>
            </w:pPr>
            <w:r>
              <w:rPr>
                <w:sz w:val="18"/>
              </w:rPr>
              <w:t>0</w:t>
            </w:r>
          </w:p>
        </w:tc>
      </w:tr>
    </w:tbl>
    <w:p w14:paraId="3609C085" w14:textId="77777777" w:rsidR="00300EF3" w:rsidRDefault="00300EF3">
      <w:pPr>
        <w:spacing w:after="0"/>
      </w:pPr>
    </w:p>
    <w:p w14:paraId="2F2B87A2" w14:textId="77777777" w:rsidR="00300EF3" w:rsidRDefault="00E42C6C">
      <w:pPr>
        <w:jc w:val="both"/>
      </w:pPr>
      <w:r>
        <w:t>Potraživanja od prodaje proizvedene dugotrajne imovine – odnose se na otkup stanova. Početkom 2025.g. dovršen je otkup zadnja dva stana te više nema potraživanja po ovoj osnovi.</w:t>
      </w:r>
    </w:p>
    <w:p w14:paraId="33FF191C" w14:textId="77777777" w:rsidR="00300EF3" w:rsidRDefault="00300EF3"/>
    <w:p w14:paraId="5C73170B" w14:textId="77777777" w:rsidR="00300EF3" w:rsidRDefault="00E42C6C">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73ECF8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47F2F6"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40ABC5"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0A8DB1"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EA9312" w14:textId="77777777" w:rsidR="00300EF3" w:rsidRDefault="00E42C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618F63A" w14:textId="77777777" w:rsidR="00300EF3" w:rsidRDefault="00E42C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6AADCFF" w14:textId="77777777" w:rsidR="00300EF3" w:rsidRDefault="00E42C6C">
            <w:pPr>
              <w:keepNext/>
              <w:keepLines/>
              <w:spacing w:after="0" w:line="240" w:lineRule="auto"/>
              <w:jc w:val="center"/>
            </w:pPr>
            <w:r>
              <w:rPr>
                <w:b/>
                <w:sz w:val="18"/>
              </w:rPr>
              <w:t>Indeks (%)</w:t>
            </w:r>
          </w:p>
        </w:tc>
      </w:tr>
      <w:tr w:rsidR="00300EF3" w14:paraId="316FECAE" w14:textId="77777777">
        <w:tblPrEx>
          <w:tblCellMar>
            <w:top w:w="0" w:type="dxa"/>
            <w:bottom w:w="0" w:type="dxa"/>
          </w:tblCellMar>
        </w:tblPrEx>
        <w:trPr>
          <w:cantSplit/>
          <w:trHeight w:val="560"/>
        </w:trPr>
        <w:tc>
          <w:tcPr>
            <w:tcW w:w="700" w:type="dxa"/>
            <w:tcMar>
              <w:top w:w="0" w:type="dxa"/>
              <w:bottom w:w="0" w:type="dxa"/>
            </w:tcMar>
            <w:vAlign w:val="center"/>
          </w:tcPr>
          <w:p w14:paraId="6514AC33" w14:textId="77777777" w:rsidR="00300EF3" w:rsidRDefault="00E42C6C">
            <w:pPr>
              <w:keepNext/>
              <w:keepLines/>
              <w:spacing w:after="0" w:line="240" w:lineRule="auto"/>
            </w:pPr>
            <w:r>
              <w:rPr>
                <w:sz w:val="18"/>
              </w:rPr>
              <w:t>2</w:t>
            </w:r>
          </w:p>
        </w:tc>
        <w:tc>
          <w:tcPr>
            <w:tcW w:w="3180" w:type="dxa"/>
            <w:tcMar>
              <w:top w:w="0" w:type="dxa"/>
              <w:bottom w:w="0" w:type="dxa"/>
            </w:tcMar>
            <w:vAlign w:val="center"/>
          </w:tcPr>
          <w:p w14:paraId="651F000F" w14:textId="77777777" w:rsidR="00300EF3" w:rsidRDefault="00E42C6C">
            <w:pPr>
              <w:keepNext/>
              <w:keepLines/>
              <w:spacing w:after="0" w:line="240" w:lineRule="auto"/>
            </w:pPr>
            <w:r>
              <w:rPr>
                <w:sz w:val="18"/>
              </w:rPr>
              <w:t>Obveze (šifre 23+24+25+26+27+29)</w:t>
            </w:r>
          </w:p>
        </w:tc>
        <w:tc>
          <w:tcPr>
            <w:tcW w:w="700" w:type="dxa"/>
            <w:tcMar>
              <w:top w:w="0" w:type="dxa"/>
              <w:bottom w:w="0" w:type="dxa"/>
            </w:tcMar>
            <w:vAlign w:val="center"/>
          </w:tcPr>
          <w:p w14:paraId="71522FFD" w14:textId="77777777" w:rsidR="00300EF3" w:rsidRDefault="00E42C6C">
            <w:pPr>
              <w:keepNext/>
              <w:keepLines/>
              <w:spacing w:after="0" w:line="240" w:lineRule="auto"/>
            </w:pPr>
            <w:r>
              <w:rPr>
                <w:sz w:val="18"/>
              </w:rPr>
              <w:t>2</w:t>
            </w:r>
          </w:p>
        </w:tc>
        <w:tc>
          <w:tcPr>
            <w:tcW w:w="1860" w:type="dxa"/>
            <w:tcMar>
              <w:top w:w="0" w:type="dxa"/>
              <w:bottom w:w="0" w:type="dxa"/>
            </w:tcMar>
            <w:vAlign w:val="center"/>
          </w:tcPr>
          <w:p w14:paraId="7907F65E" w14:textId="77777777" w:rsidR="00300EF3" w:rsidRDefault="00E42C6C">
            <w:pPr>
              <w:keepNext/>
              <w:keepLines/>
              <w:spacing w:after="0" w:line="240" w:lineRule="auto"/>
              <w:jc w:val="right"/>
            </w:pPr>
            <w:r>
              <w:rPr>
                <w:sz w:val="18"/>
              </w:rPr>
              <w:t>3.424.932,40</w:t>
            </w:r>
          </w:p>
        </w:tc>
        <w:tc>
          <w:tcPr>
            <w:tcW w:w="1860" w:type="dxa"/>
            <w:tcMar>
              <w:top w:w="0" w:type="dxa"/>
              <w:bottom w:w="0" w:type="dxa"/>
            </w:tcMar>
            <w:vAlign w:val="center"/>
          </w:tcPr>
          <w:p w14:paraId="41835EEC" w14:textId="77777777" w:rsidR="00300EF3" w:rsidRDefault="00E42C6C">
            <w:pPr>
              <w:keepNext/>
              <w:keepLines/>
              <w:spacing w:after="0" w:line="240" w:lineRule="auto"/>
              <w:jc w:val="right"/>
            </w:pPr>
            <w:r>
              <w:rPr>
                <w:sz w:val="18"/>
              </w:rPr>
              <w:t>3.278.368,27</w:t>
            </w:r>
          </w:p>
        </w:tc>
        <w:tc>
          <w:tcPr>
            <w:tcW w:w="700" w:type="dxa"/>
            <w:tcMar>
              <w:top w:w="0" w:type="dxa"/>
              <w:bottom w:w="0" w:type="dxa"/>
            </w:tcMar>
            <w:vAlign w:val="center"/>
          </w:tcPr>
          <w:p w14:paraId="67DD576D" w14:textId="77777777" w:rsidR="00300EF3" w:rsidRDefault="00E42C6C">
            <w:pPr>
              <w:keepNext/>
              <w:keepLines/>
              <w:spacing w:after="0" w:line="240" w:lineRule="auto"/>
              <w:jc w:val="right"/>
            </w:pPr>
            <w:r>
              <w:rPr>
                <w:sz w:val="18"/>
              </w:rPr>
              <w:t>95,7</w:t>
            </w:r>
          </w:p>
        </w:tc>
      </w:tr>
    </w:tbl>
    <w:p w14:paraId="2DD7A142" w14:textId="77777777" w:rsidR="00300EF3" w:rsidRDefault="00300EF3">
      <w:pPr>
        <w:spacing w:after="0"/>
      </w:pPr>
    </w:p>
    <w:p w14:paraId="445236D8" w14:textId="77777777" w:rsidR="00300EF3" w:rsidRDefault="00E42C6C">
      <w:r>
        <w:t>Ukupne obveze manje su za 4,3 % odnosno manje su za 146.564,13 € u odnosu na početak godine. Sve obveze su nedospjele jer ih Zavod uredno i na vrijeme podmiruje.</w:t>
      </w:r>
    </w:p>
    <w:p w14:paraId="210EDC74" w14:textId="77777777" w:rsidR="00300EF3" w:rsidRDefault="00300EF3"/>
    <w:p w14:paraId="522C1BC4" w14:textId="77777777" w:rsidR="00300EF3" w:rsidRDefault="00E42C6C">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1C9F5E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320EF1"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873D3C4"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900A75"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EDDA15" w14:textId="77777777" w:rsidR="00300EF3" w:rsidRDefault="00E42C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D43E95" w14:textId="77777777" w:rsidR="00300EF3" w:rsidRDefault="00E42C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271A3A2" w14:textId="77777777" w:rsidR="00300EF3" w:rsidRDefault="00E42C6C">
            <w:pPr>
              <w:keepNext/>
              <w:keepLines/>
              <w:spacing w:after="0" w:line="240" w:lineRule="auto"/>
              <w:jc w:val="center"/>
            </w:pPr>
            <w:r>
              <w:rPr>
                <w:b/>
                <w:sz w:val="18"/>
              </w:rPr>
              <w:t>Indeks (%)</w:t>
            </w:r>
          </w:p>
        </w:tc>
      </w:tr>
      <w:tr w:rsidR="00300EF3" w14:paraId="01828378" w14:textId="77777777">
        <w:tblPrEx>
          <w:tblCellMar>
            <w:top w:w="0" w:type="dxa"/>
            <w:bottom w:w="0" w:type="dxa"/>
          </w:tblCellMar>
        </w:tblPrEx>
        <w:trPr>
          <w:cantSplit/>
          <w:trHeight w:val="560"/>
        </w:trPr>
        <w:tc>
          <w:tcPr>
            <w:tcW w:w="700" w:type="dxa"/>
            <w:tcMar>
              <w:top w:w="0" w:type="dxa"/>
              <w:bottom w:w="0" w:type="dxa"/>
            </w:tcMar>
            <w:vAlign w:val="center"/>
          </w:tcPr>
          <w:p w14:paraId="290AC66E" w14:textId="77777777" w:rsidR="00300EF3" w:rsidRDefault="00E42C6C">
            <w:pPr>
              <w:keepNext/>
              <w:keepLines/>
              <w:spacing w:after="0" w:line="240" w:lineRule="auto"/>
            </w:pPr>
            <w:r>
              <w:rPr>
                <w:sz w:val="18"/>
              </w:rPr>
              <w:t>231</w:t>
            </w:r>
          </w:p>
        </w:tc>
        <w:tc>
          <w:tcPr>
            <w:tcW w:w="3180" w:type="dxa"/>
            <w:tcMar>
              <w:top w:w="0" w:type="dxa"/>
              <w:bottom w:w="0" w:type="dxa"/>
            </w:tcMar>
            <w:vAlign w:val="center"/>
          </w:tcPr>
          <w:p w14:paraId="1D6B333E" w14:textId="77777777" w:rsidR="00300EF3" w:rsidRDefault="00E42C6C">
            <w:pPr>
              <w:keepNext/>
              <w:keepLines/>
              <w:spacing w:after="0" w:line="240" w:lineRule="auto"/>
            </w:pPr>
            <w:r>
              <w:rPr>
                <w:sz w:val="18"/>
              </w:rPr>
              <w:t>Obveze za zaposlene</w:t>
            </w:r>
          </w:p>
        </w:tc>
        <w:tc>
          <w:tcPr>
            <w:tcW w:w="700" w:type="dxa"/>
            <w:tcMar>
              <w:top w:w="0" w:type="dxa"/>
              <w:bottom w:w="0" w:type="dxa"/>
            </w:tcMar>
            <w:vAlign w:val="center"/>
          </w:tcPr>
          <w:p w14:paraId="34999DBA" w14:textId="77777777" w:rsidR="00300EF3" w:rsidRDefault="00E42C6C">
            <w:pPr>
              <w:keepNext/>
              <w:keepLines/>
              <w:spacing w:after="0" w:line="240" w:lineRule="auto"/>
            </w:pPr>
            <w:r>
              <w:rPr>
                <w:sz w:val="18"/>
              </w:rPr>
              <w:t>231</w:t>
            </w:r>
          </w:p>
        </w:tc>
        <w:tc>
          <w:tcPr>
            <w:tcW w:w="1860" w:type="dxa"/>
            <w:tcMar>
              <w:top w:w="0" w:type="dxa"/>
              <w:bottom w:w="0" w:type="dxa"/>
            </w:tcMar>
            <w:vAlign w:val="center"/>
          </w:tcPr>
          <w:p w14:paraId="0444B800" w14:textId="77777777" w:rsidR="00300EF3" w:rsidRDefault="00E42C6C">
            <w:pPr>
              <w:keepNext/>
              <w:keepLines/>
              <w:spacing w:after="0" w:line="240" w:lineRule="auto"/>
              <w:jc w:val="right"/>
            </w:pPr>
            <w:r>
              <w:rPr>
                <w:sz w:val="18"/>
              </w:rPr>
              <w:t>1.971.997,31</w:t>
            </w:r>
          </w:p>
        </w:tc>
        <w:tc>
          <w:tcPr>
            <w:tcW w:w="1860" w:type="dxa"/>
            <w:tcMar>
              <w:top w:w="0" w:type="dxa"/>
              <w:bottom w:w="0" w:type="dxa"/>
            </w:tcMar>
            <w:vAlign w:val="center"/>
          </w:tcPr>
          <w:p w14:paraId="5B5379CB" w14:textId="77777777" w:rsidR="00300EF3" w:rsidRDefault="00E42C6C">
            <w:pPr>
              <w:keepNext/>
              <w:keepLines/>
              <w:spacing w:after="0" w:line="240" w:lineRule="auto"/>
              <w:jc w:val="right"/>
            </w:pPr>
            <w:r>
              <w:rPr>
                <w:sz w:val="18"/>
              </w:rPr>
              <w:t>2.170.785,52</w:t>
            </w:r>
          </w:p>
        </w:tc>
        <w:tc>
          <w:tcPr>
            <w:tcW w:w="700" w:type="dxa"/>
            <w:tcMar>
              <w:top w:w="0" w:type="dxa"/>
              <w:bottom w:w="0" w:type="dxa"/>
            </w:tcMar>
            <w:vAlign w:val="center"/>
          </w:tcPr>
          <w:p w14:paraId="2C743784" w14:textId="77777777" w:rsidR="00300EF3" w:rsidRDefault="00E42C6C">
            <w:pPr>
              <w:keepNext/>
              <w:keepLines/>
              <w:spacing w:after="0" w:line="240" w:lineRule="auto"/>
              <w:jc w:val="right"/>
            </w:pPr>
            <w:r>
              <w:rPr>
                <w:sz w:val="18"/>
              </w:rPr>
              <w:t>110,1</w:t>
            </w:r>
          </w:p>
        </w:tc>
      </w:tr>
    </w:tbl>
    <w:p w14:paraId="06FA5522" w14:textId="77777777" w:rsidR="00300EF3" w:rsidRDefault="00300EF3">
      <w:pPr>
        <w:spacing w:after="0"/>
      </w:pPr>
    </w:p>
    <w:p w14:paraId="4CA0B838" w14:textId="77777777" w:rsidR="00300EF3" w:rsidRDefault="00E42C6C">
      <w:pPr>
        <w:jc w:val="both"/>
      </w:pPr>
      <w:r>
        <w:t>Obveze za zaposlene – na kraju 2025.g. su veće za 198.788,21 € odnosno za 10,1 % u odnosu na stanje na početku godine i odnose se na neisplaćenu plaću za prosinac 2025.g. koja je isplaćena u siječnju 2026.g. Povećanje ove vrste obveza posljedica je porasta osnovice za obračun plaće i materijalnih prava temeljem kolektivnog ugovora (rad u turnusu) i većeg broja timova sukladno proširenoj mreži i standardima. </w:t>
      </w:r>
    </w:p>
    <w:p w14:paraId="4CC80A88" w14:textId="77777777" w:rsidR="00300EF3" w:rsidRDefault="00300EF3"/>
    <w:p w14:paraId="3148DED2" w14:textId="77777777" w:rsidR="00300EF3" w:rsidRDefault="00E42C6C">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3FF9F3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98E8D8"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29760B"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A25A17"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66F2E1" w14:textId="77777777" w:rsidR="00300EF3" w:rsidRDefault="00E42C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080895D" w14:textId="77777777" w:rsidR="00300EF3" w:rsidRDefault="00E42C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E2296A4" w14:textId="77777777" w:rsidR="00300EF3" w:rsidRDefault="00E42C6C">
            <w:pPr>
              <w:keepNext/>
              <w:keepLines/>
              <w:spacing w:after="0" w:line="240" w:lineRule="auto"/>
              <w:jc w:val="center"/>
            </w:pPr>
            <w:r>
              <w:rPr>
                <w:b/>
                <w:sz w:val="18"/>
              </w:rPr>
              <w:t>Indeks (%)</w:t>
            </w:r>
          </w:p>
        </w:tc>
      </w:tr>
      <w:tr w:rsidR="00300EF3" w14:paraId="7CF293C5" w14:textId="77777777">
        <w:tblPrEx>
          <w:tblCellMar>
            <w:top w:w="0" w:type="dxa"/>
            <w:bottom w:w="0" w:type="dxa"/>
          </w:tblCellMar>
        </w:tblPrEx>
        <w:trPr>
          <w:cantSplit/>
          <w:trHeight w:val="560"/>
        </w:trPr>
        <w:tc>
          <w:tcPr>
            <w:tcW w:w="700" w:type="dxa"/>
            <w:tcMar>
              <w:top w:w="0" w:type="dxa"/>
              <w:bottom w:w="0" w:type="dxa"/>
            </w:tcMar>
            <w:vAlign w:val="center"/>
          </w:tcPr>
          <w:p w14:paraId="7310EADF" w14:textId="77777777" w:rsidR="00300EF3" w:rsidRDefault="00E42C6C">
            <w:pPr>
              <w:keepNext/>
              <w:keepLines/>
              <w:spacing w:after="0" w:line="240" w:lineRule="auto"/>
            </w:pPr>
            <w:r>
              <w:rPr>
                <w:sz w:val="18"/>
              </w:rPr>
              <w:t>2343</w:t>
            </w:r>
          </w:p>
        </w:tc>
        <w:tc>
          <w:tcPr>
            <w:tcW w:w="3180" w:type="dxa"/>
            <w:tcMar>
              <w:top w:w="0" w:type="dxa"/>
              <w:bottom w:w="0" w:type="dxa"/>
            </w:tcMar>
            <w:vAlign w:val="center"/>
          </w:tcPr>
          <w:p w14:paraId="6B0F6A4A" w14:textId="77777777" w:rsidR="00300EF3" w:rsidRDefault="00E42C6C">
            <w:pPr>
              <w:keepNext/>
              <w:keepLines/>
              <w:spacing w:after="0" w:line="240" w:lineRule="auto"/>
            </w:pPr>
            <w:r>
              <w:rPr>
                <w:sz w:val="18"/>
              </w:rPr>
              <w:t>Obveze za ostale financijske rashode</w:t>
            </w:r>
          </w:p>
        </w:tc>
        <w:tc>
          <w:tcPr>
            <w:tcW w:w="700" w:type="dxa"/>
            <w:tcMar>
              <w:top w:w="0" w:type="dxa"/>
              <w:bottom w:w="0" w:type="dxa"/>
            </w:tcMar>
            <w:vAlign w:val="center"/>
          </w:tcPr>
          <w:p w14:paraId="496D8DB2" w14:textId="77777777" w:rsidR="00300EF3" w:rsidRDefault="00E42C6C">
            <w:pPr>
              <w:keepNext/>
              <w:keepLines/>
              <w:spacing w:after="0" w:line="240" w:lineRule="auto"/>
            </w:pPr>
            <w:r>
              <w:rPr>
                <w:sz w:val="18"/>
              </w:rPr>
              <w:t>2343</w:t>
            </w:r>
          </w:p>
        </w:tc>
        <w:tc>
          <w:tcPr>
            <w:tcW w:w="1860" w:type="dxa"/>
            <w:tcMar>
              <w:top w:w="0" w:type="dxa"/>
              <w:bottom w:w="0" w:type="dxa"/>
            </w:tcMar>
            <w:vAlign w:val="center"/>
          </w:tcPr>
          <w:p w14:paraId="0AE1C666" w14:textId="77777777" w:rsidR="00300EF3" w:rsidRDefault="00E42C6C">
            <w:pPr>
              <w:keepNext/>
              <w:keepLines/>
              <w:spacing w:after="0" w:line="240" w:lineRule="auto"/>
              <w:jc w:val="right"/>
            </w:pPr>
            <w:r>
              <w:rPr>
                <w:sz w:val="18"/>
              </w:rPr>
              <w:t>400,79</w:t>
            </w:r>
          </w:p>
        </w:tc>
        <w:tc>
          <w:tcPr>
            <w:tcW w:w="1860" w:type="dxa"/>
            <w:tcMar>
              <w:top w:w="0" w:type="dxa"/>
              <w:bottom w:w="0" w:type="dxa"/>
            </w:tcMar>
            <w:vAlign w:val="center"/>
          </w:tcPr>
          <w:p w14:paraId="1284FDA4" w14:textId="77777777" w:rsidR="00300EF3" w:rsidRDefault="00E42C6C">
            <w:pPr>
              <w:keepNext/>
              <w:keepLines/>
              <w:spacing w:after="0" w:line="240" w:lineRule="auto"/>
              <w:jc w:val="right"/>
            </w:pPr>
            <w:r>
              <w:rPr>
                <w:sz w:val="18"/>
              </w:rPr>
              <w:t>833,49</w:t>
            </w:r>
          </w:p>
        </w:tc>
        <w:tc>
          <w:tcPr>
            <w:tcW w:w="700" w:type="dxa"/>
            <w:tcMar>
              <w:top w:w="0" w:type="dxa"/>
              <w:bottom w:w="0" w:type="dxa"/>
            </w:tcMar>
            <w:vAlign w:val="center"/>
          </w:tcPr>
          <w:p w14:paraId="1303341A" w14:textId="77777777" w:rsidR="00300EF3" w:rsidRDefault="00E42C6C">
            <w:pPr>
              <w:keepNext/>
              <w:keepLines/>
              <w:spacing w:after="0" w:line="240" w:lineRule="auto"/>
              <w:jc w:val="right"/>
            </w:pPr>
            <w:r>
              <w:rPr>
                <w:sz w:val="18"/>
              </w:rPr>
              <w:t>208,0</w:t>
            </w:r>
          </w:p>
        </w:tc>
      </w:tr>
    </w:tbl>
    <w:p w14:paraId="011BF3F7" w14:textId="77777777" w:rsidR="00300EF3" w:rsidRDefault="00300EF3">
      <w:pPr>
        <w:spacing w:after="0"/>
      </w:pPr>
    </w:p>
    <w:p w14:paraId="286B06E6" w14:textId="77777777" w:rsidR="00300EF3" w:rsidRDefault="00E42C6C">
      <w:pPr>
        <w:jc w:val="both"/>
      </w:pPr>
      <w:r>
        <w:lastRenderedPageBreak/>
        <w:t>Obveze za ostale financijske rashode – odnose se na bankarske usluge i usluge platnog prometa. Ova pozicija je veća za 432,70 € zbog promjena u poslovanju banke i većeg broja naloga za plaćanje.  </w:t>
      </w:r>
    </w:p>
    <w:p w14:paraId="2CF479ED" w14:textId="77777777" w:rsidR="00300EF3" w:rsidRDefault="00300EF3"/>
    <w:p w14:paraId="39F64C4E" w14:textId="77777777" w:rsidR="00300EF3" w:rsidRDefault="00E42C6C">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2F9EA1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DA2E4E"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2F3FF4"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B53069"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0EEB88" w14:textId="77777777" w:rsidR="00300EF3" w:rsidRDefault="00E42C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16EB3DE" w14:textId="77777777" w:rsidR="00300EF3" w:rsidRDefault="00E42C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EF74854" w14:textId="77777777" w:rsidR="00300EF3" w:rsidRDefault="00E42C6C">
            <w:pPr>
              <w:keepNext/>
              <w:keepLines/>
              <w:spacing w:after="0" w:line="240" w:lineRule="auto"/>
              <w:jc w:val="center"/>
            </w:pPr>
            <w:r>
              <w:rPr>
                <w:b/>
                <w:sz w:val="18"/>
              </w:rPr>
              <w:t>Indeks (%)</w:t>
            </w:r>
          </w:p>
        </w:tc>
      </w:tr>
      <w:tr w:rsidR="00300EF3" w14:paraId="01EE0F67" w14:textId="77777777">
        <w:tblPrEx>
          <w:tblCellMar>
            <w:top w:w="0" w:type="dxa"/>
            <w:bottom w:w="0" w:type="dxa"/>
          </w:tblCellMar>
        </w:tblPrEx>
        <w:trPr>
          <w:cantSplit/>
          <w:trHeight w:val="560"/>
        </w:trPr>
        <w:tc>
          <w:tcPr>
            <w:tcW w:w="700" w:type="dxa"/>
            <w:tcMar>
              <w:top w:w="0" w:type="dxa"/>
              <w:bottom w:w="0" w:type="dxa"/>
            </w:tcMar>
            <w:vAlign w:val="center"/>
          </w:tcPr>
          <w:p w14:paraId="73B79C2D" w14:textId="77777777" w:rsidR="00300EF3" w:rsidRDefault="00E42C6C">
            <w:pPr>
              <w:keepNext/>
              <w:keepLines/>
              <w:spacing w:after="0" w:line="240" w:lineRule="auto"/>
            </w:pPr>
            <w:r>
              <w:rPr>
                <w:sz w:val="18"/>
              </w:rPr>
              <w:t>241</w:t>
            </w:r>
          </w:p>
        </w:tc>
        <w:tc>
          <w:tcPr>
            <w:tcW w:w="3180" w:type="dxa"/>
            <w:tcMar>
              <w:top w:w="0" w:type="dxa"/>
              <w:bottom w:w="0" w:type="dxa"/>
            </w:tcMar>
            <w:vAlign w:val="center"/>
          </w:tcPr>
          <w:p w14:paraId="65EF4D53" w14:textId="77777777" w:rsidR="00300EF3" w:rsidRDefault="00E42C6C">
            <w:pPr>
              <w:keepNext/>
              <w:keepLines/>
              <w:spacing w:after="0" w:line="240" w:lineRule="auto"/>
            </w:pPr>
            <w:r>
              <w:rPr>
                <w:sz w:val="18"/>
              </w:rPr>
              <w:t xml:space="preserve">Obveze za nabavu </w:t>
            </w:r>
            <w:proofErr w:type="spellStart"/>
            <w:r>
              <w:rPr>
                <w:sz w:val="18"/>
              </w:rPr>
              <w:t>neproizvedene</w:t>
            </w:r>
            <w:proofErr w:type="spellEnd"/>
            <w:r>
              <w:rPr>
                <w:sz w:val="18"/>
              </w:rPr>
              <w:t xml:space="preserve"> dugotrajne imovine</w:t>
            </w:r>
          </w:p>
        </w:tc>
        <w:tc>
          <w:tcPr>
            <w:tcW w:w="700" w:type="dxa"/>
            <w:tcMar>
              <w:top w:w="0" w:type="dxa"/>
              <w:bottom w:w="0" w:type="dxa"/>
            </w:tcMar>
            <w:vAlign w:val="center"/>
          </w:tcPr>
          <w:p w14:paraId="28766769" w14:textId="77777777" w:rsidR="00300EF3" w:rsidRDefault="00E42C6C">
            <w:pPr>
              <w:keepNext/>
              <w:keepLines/>
              <w:spacing w:after="0" w:line="240" w:lineRule="auto"/>
            </w:pPr>
            <w:r>
              <w:rPr>
                <w:sz w:val="18"/>
              </w:rPr>
              <w:t>241</w:t>
            </w:r>
          </w:p>
        </w:tc>
        <w:tc>
          <w:tcPr>
            <w:tcW w:w="1860" w:type="dxa"/>
            <w:tcMar>
              <w:top w:w="0" w:type="dxa"/>
              <w:bottom w:w="0" w:type="dxa"/>
            </w:tcMar>
            <w:vAlign w:val="center"/>
          </w:tcPr>
          <w:p w14:paraId="6169DD17" w14:textId="77777777" w:rsidR="00300EF3" w:rsidRDefault="00E42C6C">
            <w:pPr>
              <w:keepNext/>
              <w:keepLines/>
              <w:spacing w:after="0" w:line="240" w:lineRule="auto"/>
              <w:jc w:val="right"/>
            </w:pPr>
            <w:r>
              <w:rPr>
                <w:sz w:val="18"/>
              </w:rPr>
              <w:t>10.625,00</w:t>
            </w:r>
          </w:p>
        </w:tc>
        <w:tc>
          <w:tcPr>
            <w:tcW w:w="1860" w:type="dxa"/>
            <w:tcMar>
              <w:top w:w="0" w:type="dxa"/>
              <w:bottom w:w="0" w:type="dxa"/>
            </w:tcMar>
            <w:vAlign w:val="center"/>
          </w:tcPr>
          <w:p w14:paraId="3553B32B" w14:textId="77777777" w:rsidR="00300EF3" w:rsidRDefault="00E42C6C">
            <w:pPr>
              <w:keepNext/>
              <w:keepLines/>
              <w:spacing w:after="0" w:line="240" w:lineRule="auto"/>
              <w:jc w:val="right"/>
            </w:pPr>
            <w:r>
              <w:rPr>
                <w:sz w:val="18"/>
              </w:rPr>
              <w:t>181.527,63</w:t>
            </w:r>
          </w:p>
        </w:tc>
        <w:tc>
          <w:tcPr>
            <w:tcW w:w="700" w:type="dxa"/>
            <w:tcMar>
              <w:top w:w="0" w:type="dxa"/>
              <w:bottom w:w="0" w:type="dxa"/>
            </w:tcMar>
            <w:vAlign w:val="center"/>
          </w:tcPr>
          <w:p w14:paraId="670D3D1A" w14:textId="77777777" w:rsidR="00300EF3" w:rsidRDefault="00E42C6C">
            <w:pPr>
              <w:keepNext/>
              <w:keepLines/>
              <w:spacing w:after="0" w:line="240" w:lineRule="auto"/>
              <w:jc w:val="right"/>
            </w:pPr>
            <w:r>
              <w:rPr>
                <w:sz w:val="18"/>
              </w:rPr>
              <w:t>1708,5</w:t>
            </w:r>
          </w:p>
        </w:tc>
      </w:tr>
    </w:tbl>
    <w:p w14:paraId="24D186AF" w14:textId="77777777" w:rsidR="00300EF3" w:rsidRDefault="00300EF3">
      <w:pPr>
        <w:spacing w:after="0"/>
      </w:pPr>
    </w:p>
    <w:p w14:paraId="1528BE1F" w14:textId="77777777" w:rsidR="00300EF3" w:rsidRDefault="00E42C6C">
      <w:pPr>
        <w:jc w:val="both"/>
      </w:pPr>
      <w:r>
        <w:t xml:space="preserve">Obveze za nabavu </w:t>
      </w:r>
      <w:proofErr w:type="spellStart"/>
      <w:r>
        <w:t>neproizvedene</w:t>
      </w:r>
      <w:proofErr w:type="spellEnd"/>
      <w:r>
        <w:t xml:space="preserve"> dugotrajne imovine – ova pozicija veća je za 170.902,63 €. Na kraju 2025.g. ovdje je iskazana nedospjela obveza za prvu privremenu situaciju za adaptaciju ispostave Vrgorac dok je na početku godine iskazana obveza za projekt adaptacije ispostave u Vrgorcu. </w:t>
      </w:r>
    </w:p>
    <w:p w14:paraId="57126DDF" w14:textId="77777777" w:rsidR="00300EF3" w:rsidRDefault="00300EF3"/>
    <w:p w14:paraId="790DF034" w14:textId="77777777" w:rsidR="00300EF3" w:rsidRDefault="00E42C6C">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0B8907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C5062F"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8B0653"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7E8268"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5DAB1E" w14:textId="77777777" w:rsidR="00300EF3" w:rsidRDefault="00E42C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F7A87DA" w14:textId="77777777" w:rsidR="00300EF3" w:rsidRDefault="00E42C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ABA6386" w14:textId="77777777" w:rsidR="00300EF3" w:rsidRDefault="00E42C6C">
            <w:pPr>
              <w:keepNext/>
              <w:keepLines/>
              <w:spacing w:after="0" w:line="240" w:lineRule="auto"/>
              <w:jc w:val="center"/>
            </w:pPr>
            <w:r>
              <w:rPr>
                <w:b/>
                <w:sz w:val="18"/>
              </w:rPr>
              <w:t>Indeks (%)</w:t>
            </w:r>
          </w:p>
        </w:tc>
      </w:tr>
      <w:tr w:rsidR="00300EF3" w14:paraId="197ABE2D" w14:textId="77777777">
        <w:tblPrEx>
          <w:tblCellMar>
            <w:top w:w="0" w:type="dxa"/>
            <w:bottom w:w="0" w:type="dxa"/>
          </w:tblCellMar>
        </w:tblPrEx>
        <w:trPr>
          <w:cantSplit/>
          <w:trHeight w:val="560"/>
        </w:trPr>
        <w:tc>
          <w:tcPr>
            <w:tcW w:w="700" w:type="dxa"/>
            <w:tcMar>
              <w:top w:w="0" w:type="dxa"/>
              <w:bottom w:w="0" w:type="dxa"/>
            </w:tcMar>
            <w:vAlign w:val="center"/>
          </w:tcPr>
          <w:p w14:paraId="22FB95E3" w14:textId="77777777" w:rsidR="00300EF3" w:rsidRDefault="00E42C6C">
            <w:pPr>
              <w:keepNext/>
              <w:keepLines/>
              <w:spacing w:after="0" w:line="240" w:lineRule="auto"/>
            </w:pPr>
            <w:r>
              <w:rPr>
                <w:sz w:val="18"/>
              </w:rPr>
              <w:t>242</w:t>
            </w:r>
          </w:p>
        </w:tc>
        <w:tc>
          <w:tcPr>
            <w:tcW w:w="3180" w:type="dxa"/>
            <w:tcMar>
              <w:top w:w="0" w:type="dxa"/>
              <w:bottom w:w="0" w:type="dxa"/>
            </w:tcMar>
            <w:vAlign w:val="center"/>
          </w:tcPr>
          <w:p w14:paraId="28B1FB56" w14:textId="77777777" w:rsidR="00300EF3" w:rsidRDefault="00E42C6C">
            <w:pPr>
              <w:keepNext/>
              <w:keepLines/>
              <w:spacing w:after="0" w:line="240" w:lineRule="auto"/>
            </w:pPr>
            <w:r>
              <w:rPr>
                <w:sz w:val="18"/>
              </w:rPr>
              <w:t>Obveze za nabavu proizvedene dugotrajne imovine</w:t>
            </w:r>
          </w:p>
        </w:tc>
        <w:tc>
          <w:tcPr>
            <w:tcW w:w="700" w:type="dxa"/>
            <w:tcMar>
              <w:top w:w="0" w:type="dxa"/>
              <w:bottom w:w="0" w:type="dxa"/>
            </w:tcMar>
            <w:vAlign w:val="center"/>
          </w:tcPr>
          <w:p w14:paraId="4F03CBDD" w14:textId="77777777" w:rsidR="00300EF3" w:rsidRDefault="00E42C6C">
            <w:pPr>
              <w:keepNext/>
              <w:keepLines/>
              <w:spacing w:after="0" w:line="240" w:lineRule="auto"/>
            </w:pPr>
            <w:r>
              <w:rPr>
                <w:sz w:val="18"/>
              </w:rPr>
              <w:t>242</w:t>
            </w:r>
          </w:p>
        </w:tc>
        <w:tc>
          <w:tcPr>
            <w:tcW w:w="1860" w:type="dxa"/>
            <w:tcMar>
              <w:top w:w="0" w:type="dxa"/>
              <w:bottom w:w="0" w:type="dxa"/>
            </w:tcMar>
            <w:vAlign w:val="center"/>
          </w:tcPr>
          <w:p w14:paraId="5FB0AAE9" w14:textId="77777777" w:rsidR="00300EF3" w:rsidRDefault="00E42C6C">
            <w:pPr>
              <w:keepNext/>
              <w:keepLines/>
              <w:spacing w:after="0" w:line="240" w:lineRule="auto"/>
              <w:jc w:val="right"/>
            </w:pPr>
            <w:r>
              <w:rPr>
                <w:sz w:val="18"/>
              </w:rPr>
              <w:t>1.110.725,00</w:t>
            </w:r>
          </w:p>
        </w:tc>
        <w:tc>
          <w:tcPr>
            <w:tcW w:w="1860" w:type="dxa"/>
            <w:tcMar>
              <w:top w:w="0" w:type="dxa"/>
              <w:bottom w:w="0" w:type="dxa"/>
            </w:tcMar>
            <w:vAlign w:val="center"/>
          </w:tcPr>
          <w:p w14:paraId="17998D61" w14:textId="77777777" w:rsidR="00300EF3" w:rsidRDefault="00E42C6C">
            <w:pPr>
              <w:keepNext/>
              <w:keepLines/>
              <w:spacing w:after="0" w:line="240" w:lineRule="auto"/>
              <w:jc w:val="right"/>
            </w:pPr>
            <w:r>
              <w:rPr>
                <w:sz w:val="18"/>
              </w:rPr>
              <w:t>594.291,16</w:t>
            </w:r>
          </w:p>
        </w:tc>
        <w:tc>
          <w:tcPr>
            <w:tcW w:w="700" w:type="dxa"/>
            <w:tcMar>
              <w:top w:w="0" w:type="dxa"/>
              <w:bottom w:w="0" w:type="dxa"/>
            </w:tcMar>
            <w:vAlign w:val="center"/>
          </w:tcPr>
          <w:p w14:paraId="78D188D1" w14:textId="77777777" w:rsidR="00300EF3" w:rsidRDefault="00E42C6C">
            <w:pPr>
              <w:keepNext/>
              <w:keepLines/>
              <w:spacing w:after="0" w:line="240" w:lineRule="auto"/>
              <w:jc w:val="right"/>
            </w:pPr>
            <w:r>
              <w:rPr>
                <w:sz w:val="18"/>
              </w:rPr>
              <w:t>53,5</w:t>
            </w:r>
          </w:p>
        </w:tc>
      </w:tr>
    </w:tbl>
    <w:p w14:paraId="14DE8EC1" w14:textId="77777777" w:rsidR="00300EF3" w:rsidRDefault="00300EF3">
      <w:pPr>
        <w:spacing w:after="0"/>
      </w:pPr>
    </w:p>
    <w:p w14:paraId="391743C0" w14:textId="77777777" w:rsidR="00300EF3" w:rsidRDefault="00E42C6C">
      <w:pPr>
        <w:jc w:val="both"/>
      </w:pPr>
      <w:r>
        <w:t>Obveze za nabavu proizvedene dugotrajne imovine – ova pozicija manja je za 516.433,84 €. Stanje obveza na početku 2025.g. bilo je značajno veće jer sadrže račune za nabavu 23 nova vozila koja su bila nedospjela.</w:t>
      </w:r>
    </w:p>
    <w:p w14:paraId="4C8EFB16" w14:textId="77777777" w:rsidR="00300EF3" w:rsidRDefault="00300EF3"/>
    <w:p w14:paraId="244348C5" w14:textId="77777777" w:rsidR="00300EF3" w:rsidRDefault="00E42C6C">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49D4F1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4B75DF"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F5D0B8"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54DB1D"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66D130" w14:textId="77777777" w:rsidR="00300EF3" w:rsidRDefault="00E42C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773D669" w14:textId="77777777" w:rsidR="00300EF3" w:rsidRDefault="00E42C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1F547EB" w14:textId="77777777" w:rsidR="00300EF3" w:rsidRDefault="00E42C6C">
            <w:pPr>
              <w:keepNext/>
              <w:keepLines/>
              <w:spacing w:after="0" w:line="240" w:lineRule="auto"/>
              <w:jc w:val="center"/>
            </w:pPr>
            <w:r>
              <w:rPr>
                <w:b/>
                <w:sz w:val="18"/>
              </w:rPr>
              <w:t>Indeks (%)</w:t>
            </w:r>
          </w:p>
        </w:tc>
      </w:tr>
      <w:tr w:rsidR="00300EF3" w14:paraId="5C60B075" w14:textId="77777777">
        <w:tblPrEx>
          <w:tblCellMar>
            <w:top w:w="0" w:type="dxa"/>
            <w:bottom w:w="0" w:type="dxa"/>
          </w:tblCellMar>
        </w:tblPrEx>
        <w:trPr>
          <w:cantSplit/>
          <w:trHeight w:val="560"/>
        </w:trPr>
        <w:tc>
          <w:tcPr>
            <w:tcW w:w="700" w:type="dxa"/>
            <w:tcMar>
              <w:top w:w="0" w:type="dxa"/>
              <w:bottom w:w="0" w:type="dxa"/>
            </w:tcMar>
            <w:vAlign w:val="center"/>
          </w:tcPr>
          <w:p w14:paraId="092FF157" w14:textId="77777777" w:rsidR="00300EF3" w:rsidRDefault="00E42C6C">
            <w:pPr>
              <w:keepNext/>
              <w:keepLines/>
              <w:spacing w:after="0" w:line="240" w:lineRule="auto"/>
            </w:pPr>
            <w:r>
              <w:rPr>
                <w:sz w:val="18"/>
              </w:rPr>
              <w:t>27</w:t>
            </w:r>
          </w:p>
        </w:tc>
        <w:tc>
          <w:tcPr>
            <w:tcW w:w="3180" w:type="dxa"/>
            <w:tcMar>
              <w:top w:w="0" w:type="dxa"/>
              <w:bottom w:w="0" w:type="dxa"/>
            </w:tcMar>
            <w:vAlign w:val="center"/>
          </w:tcPr>
          <w:p w14:paraId="0F4A4EE1" w14:textId="77777777" w:rsidR="00300EF3" w:rsidRDefault="00E42C6C">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30C0D106" w14:textId="77777777" w:rsidR="00300EF3" w:rsidRDefault="00E42C6C">
            <w:pPr>
              <w:keepNext/>
              <w:keepLines/>
              <w:spacing w:after="0" w:line="240" w:lineRule="auto"/>
            </w:pPr>
            <w:r>
              <w:rPr>
                <w:sz w:val="18"/>
              </w:rPr>
              <w:t>27</w:t>
            </w:r>
          </w:p>
        </w:tc>
        <w:tc>
          <w:tcPr>
            <w:tcW w:w="1860" w:type="dxa"/>
            <w:tcMar>
              <w:top w:w="0" w:type="dxa"/>
              <w:bottom w:w="0" w:type="dxa"/>
            </w:tcMar>
            <w:vAlign w:val="center"/>
          </w:tcPr>
          <w:p w14:paraId="701FB15D" w14:textId="77777777" w:rsidR="00300EF3" w:rsidRDefault="00E42C6C">
            <w:pPr>
              <w:keepNext/>
              <w:keepLines/>
              <w:spacing w:after="0" w:line="240" w:lineRule="auto"/>
              <w:jc w:val="right"/>
            </w:pPr>
            <w:r>
              <w:rPr>
                <w:sz w:val="18"/>
              </w:rPr>
              <w:t>5.550,57</w:t>
            </w:r>
          </w:p>
        </w:tc>
        <w:tc>
          <w:tcPr>
            <w:tcW w:w="1860" w:type="dxa"/>
            <w:tcMar>
              <w:top w:w="0" w:type="dxa"/>
              <w:bottom w:w="0" w:type="dxa"/>
            </w:tcMar>
            <w:vAlign w:val="center"/>
          </w:tcPr>
          <w:p w14:paraId="0AE422FE" w14:textId="77777777" w:rsidR="00300EF3" w:rsidRDefault="00E42C6C">
            <w:pPr>
              <w:keepNext/>
              <w:keepLines/>
              <w:spacing w:after="0" w:line="240" w:lineRule="auto"/>
              <w:jc w:val="right"/>
            </w:pPr>
            <w:r>
              <w:rPr>
                <w:sz w:val="18"/>
              </w:rPr>
              <w:t>13.416,02</w:t>
            </w:r>
          </w:p>
        </w:tc>
        <w:tc>
          <w:tcPr>
            <w:tcW w:w="700" w:type="dxa"/>
            <w:tcMar>
              <w:top w:w="0" w:type="dxa"/>
              <w:bottom w:w="0" w:type="dxa"/>
            </w:tcMar>
            <w:vAlign w:val="center"/>
          </w:tcPr>
          <w:p w14:paraId="6D1F1475" w14:textId="77777777" w:rsidR="00300EF3" w:rsidRDefault="00E42C6C">
            <w:pPr>
              <w:keepNext/>
              <w:keepLines/>
              <w:spacing w:after="0" w:line="240" w:lineRule="auto"/>
              <w:jc w:val="right"/>
            </w:pPr>
            <w:r>
              <w:rPr>
                <w:sz w:val="18"/>
              </w:rPr>
              <w:t>241,7</w:t>
            </w:r>
          </w:p>
        </w:tc>
      </w:tr>
    </w:tbl>
    <w:p w14:paraId="045E5E56" w14:textId="77777777" w:rsidR="00300EF3" w:rsidRDefault="00300EF3">
      <w:pPr>
        <w:spacing w:after="0"/>
      </w:pPr>
    </w:p>
    <w:p w14:paraId="3355B6F3" w14:textId="77777777" w:rsidR="00300EF3" w:rsidRDefault="00E42C6C">
      <w:pPr>
        <w:jc w:val="both"/>
      </w:pPr>
      <w:r>
        <w:t xml:space="preserve">Obveze za predujmove, depozite, </w:t>
      </w:r>
      <w:proofErr w:type="spellStart"/>
      <w:r>
        <w:t>jamčevne</w:t>
      </w:r>
      <w:proofErr w:type="spellEnd"/>
      <w:r>
        <w:t xml:space="preserve"> </w:t>
      </w:r>
      <w:proofErr w:type="spellStart"/>
      <w:r>
        <w:t>pologe</w:t>
      </w:r>
      <w:proofErr w:type="spellEnd"/>
      <w:r>
        <w:t xml:space="preserve"> i tuđe prihode – sukladno novom pravilniku od 01. siječnja 2025.g. otvorena je ova nova skupina 27, te su na nju prenesena salda sa skupine 23-Obveze za rashode poslovanja (osim računa 23954). U odnosu na početak godine stanje na ovoj poziciji veće je za 7.865,45 € zbog većih obveza za </w:t>
      </w:r>
      <w:proofErr w:type="spellStart"/>
      <w:r>
        <w:t>jamčevne</w:t>
      </w:r>
      <w:proofErr w:type="spellEnd"/>
      <w:r>
        <w:t xml:space="preserve"> </w:t>
      </w:r>
      <w:proofErr w:type="spellStart"/>
      <w:r>
        <w:t>pologe</w:t>
      </w:r>
      <w:proofErr w:type="spellEnd"/>
      <w:r>
        <w:t xml:space="preserve"> što je posljedica većih doznaka novčanih sredstava na račun Zavoda za jamstava za ozbiljnost ponuda i za uredno izvršenje ugovornih obveza u postupcima javne nabave.</w:t>
      </w:r>
    </w:p>
    <w:p w14:paraId="7A585A78" w14:textId="77777777" w:rsidR="00300EF3" w:rsidRDefault="00300EF3"/>
    <w:p w14:paraId="2A93B7C3" w14:textId="77777777" w:rsidR="00300EF3" w:rsidRDefault="00E42C6C">
      <w:pPr>
        <w:keepNext/>
        <w:spacing w:line="240" w:lineRule="auto"/>
        <w:jc w:val="center"/>
      </w:pPr>
      <w:r>
        <w:rPr>
          <w:sz w:val="28"/>
        </w:rPr>
        <w:lastRenderedPageBreak/>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0918C8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FD8B94"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E0A181"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A0ABB5"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E7EA0F" w14:textId="77777777" w:rsidR="00300EF3" w:rsidRDefault="00E42C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20B4134" w14:textId="77777777" w:rsidR="00300EF3" w:rsidRDefault="00E42C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4D13631" w14:textId="77777777" w:rsidR="00300EF3" w:rsidRDefault="00E42C6C">
            <w:pPr>
              <w:keepNext/>
              <w:keepLines/>
              <w:spacing w:after="0" w:line="240" w:lineRule="auto"/>
              <w:jc w:val="center"/>
            </w:pPr>
            <w:r>
              <w:rPr>
                <w:b/>
                <w:sz w:val="18"/>
              </w:rPr>
              <w:t>Indeks (%)</w:t>
            </w:r>
          </w:p>
        </w:tc>
      </w:tr>
      <w:tr w:rsidR="00300EF3" w14:paraId="013FC296" w14:textId="77777777">
        <w:tblPrEx>
          <w:tblCellMar>
            <w:top w:w="0" w:type="dxa"/>
            <w:bottom w:w="0" w:type="dxa"/>
          </w:tblCellMar>
        </w:tblPrEx>
        <w:trPr>
          <w:cantSplit/>
          <w:trHeight w:val="560"/>
        </w:trPr>
        <w:tc>
          <w:tcPr>
            <w:tcW w:w="700" w:type="dxa"/>
            <w:tcMar>
              <w:top w:w="0" w:type="dxa"/>
              <w:bottom w:w="0" w:type="dxa"/>
            </w:tcMar>
            <w:vAlign w:val="center"/>
          </w:tcPr>
          <w:p w14:paraId="16D1848A" w14:textId="77777777" w:rsidR="00300EF3" w:rsidRDefault="00E42C6C">
            <w:pPr>
              <w:keepNext/>
              <w:keepLines/>
              <w:spacing w:after="0" w:line="240" w:lineRule="auto"/>
            </w:pPr>
            <w:r>
              <w:rPr>
                <w:sz w:val="18"/>
              </w:rPr>
              <w:t>911</w:t>
            </w:r>
          </w:p>
        </w:tc>
        <w:tc>
          <w:tcPr>
            <w:tcW w:w="3180" w:type="dxa"/>
            <w:tcMar>
              <w:top w:w="0" w:type="dxa"/>
              <w:bottom w:w="0" w:type="dxa"/>
            </w:tcMar>
            <w:vAlign w:val="center"/>
          </w:tcPr>
          <w:p w14:paraId="7ED65D06" w14:textId="77777777" w:rsidR="00300EF3" w:rsidRDefault="00E42C6C">
            <w:pPr>
              <w:keepNext/>
              <w:keepLines/>
              <w:spacing w:after="0" w:line="240" w:lineRule="auto"/>
            </w:pPr>
            <w:r>
              <w:rPr>
                <w:sz w:val="18"/>
              </w:rPr>
              <w:t>Vlastiti izvori</w:t>
            </w:r>
          </w:p>
        </w:tc>
        <w:tc>
          <w:tcPr>
            <w:tcW w:w="700" w:type="dxa"/>
            <w:tcMar>
              <w:top w:w="0" w:type="dxa"/>
              <w:bottom w:w="0" w:type="dxa"/>
            </w:tcMar>
            <w:vAlign w:val="center"/>
          </w:tcPr>
          <w:p w14:paraId="00BBA68B" w14:textId="77777777" w:rsidR="00300EF3" w:rsidRDefault="00E42C6C">
            <w:pPr>
              <w:keepNext/>
              <w:keepLines/>
              <w:spacing w:after="0" w:line="240" w:lineRule="auto"/>
            </w:pPr>
            <w:r>
              <w:rPr>
                <w:sz w:val="18"/>
              </w:rPr>
              <w:t>911</w:t>
            </w:r>
          </w:p>
        </w:tc>
        <w:tc>
          <w:tcPr>
            <w:tcW w:w="1860" w:type="dxa"/>
            <w:tcMar>
              <w:top w:w="0" w:type="dxa"/>
              <w:bottom w:w="0" w:type="dxa"/>
            </w:tcMar>
            <w:vAlign w:val="center"/>
          </w:tcPr>
          <w:p w14:paraId="39F0E39C" w14:textId="77777777" w:rsidR="00300EF3" w:rsidRDefault="00E42C6C">
            <w:pPr>
              <w:keepNext/>
              <w:keepLines/>
              <w:spacing w:after="0" w:line="240" w:lineRule="auto"/>
              <w:jc w:val="right"/>
            </w:pPr>
            <w:r>
              <w:rPr>
                <w:sz w:val="18"/>
              </w:rPr>
              <w:t>5.023.880,04</w:t>
            </w:r>
          </w:p>
        </w:tc>
        <w:tc>
          <w:tcPr>
            <w:tcW w:w="1860" w:type="dxa"/>
            <w:tcMar>
              <w:top w:w="0" w:type="dxa"/>
              <w:bottom w:w="0" w:type="dxa"/>
            </w:tcMar>
            <w:vAlign w:val="center"/>
          </w:tcPr>
          <w:p w14:paraId="6958AB97" w14:textId="77777777" w:rsidR="00300EF3" w:rsidRDefault="00E42C6C">
            <w:pPr>
              <w:keepNext/>
              <w:keepLines/>
              <w:spacing w:after="0" w:line="240" w:lineRule="auto"/>
              <w:jc w:val="right"/>
            </w:pPr>
            <w:r>
              <w:rPr>
                <w:sz w:val="18"/>
              </w:rPr>
              <w:t>6.146.794,23</w:t>
            </w:r>
          </w:p>
        </w:tc>
        <w:tc>
          <w:tcPr>
            <w:tcW w:w="700" w:type="dxa"/>
            <w:tcMar>
              <w:top w:w="0" w:type="dxa"/>
              <w:bottom w:w="0" w:type="dxa"/>
            </w:tcMar>
            <w:vAlign w:val="center"/>
          </w:tcPr>
          <w:p w14:paraId="09BBB5F2" w14:textId="77777777" w:rsidR="00300EF3" w:rsidRDefault="00E42C6C">
            <w:pPr>
              <w:keepNext/>
              <w:keepLines/>
              <w:spacing w:after="0" w:line="240" w:lineRule="auto"/>
              <w:jc w:val="right"/>
            </w:pPr>
            <w:r>
              <w:rPr>
                <w:sz w:val="18"/>
              </w:rPr>
              <w:t>122,4</w:t>
            </w:r>
          </w:p>
        </w:tc>
      </w:tr>
    </w:tbl>
    <w:p w14:paraId="0618946A" w14:textId="77777777" w:rsidR="00300EF3" w:rsidRDefault="00300EF3">
      <w:pPr>
        <w:spacing w:after="0"/>
      </w:pPr>
    </w:p>
    <w:p w14:paraId="78026885" w14:textId="77777777" w:rsidR="00300EF3" w:rsidRDefault="00E42C6C">
      <w:pPr>
        <w:jc w:val="both"/>
      </w:pPr>
      <w:r>
        <w:t>Vlastiti izvori – na kraju 2025.g. su veći za 1.122.914,19 € odnosno za 22,4 % u odnosu na početak godine jer je tijekom godine nabavljena uredska, komunikacijska, medicinska i druga oprema te 11 vozila za hitnu medicinu dok su istovremeno smanjeni vlastiti izvori za ispravak vrijednosti dugotrajne imovine.   </w:t>
      </w:r>
    </w:p>
    <w:p w14:paraId="0F709CA1" w14:textId="77777777" w:rsidR="00300EF3" w:rsidRDefault="00300EF3"/>
    <w:p w14:paraId="6E358CB3" w14:textId="77777777" w:rsidR="00300EF3" w:rsidRDefault="00E42C6C">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49B9BA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63A26B"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5AB238"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73F5E6"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AD2D15" w14:textId="77777777" w:rsidR="00300EF3" w:rsidRDefault="00E42C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3A73EC4" w14:textId="77777777" w:rsidR="00300EF3" w:rsidRDefault="00E42C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1FD19F" w14:textId="77777777" w:rsidR="00300EF3" w:rsidRDefault="00E42C6C">
            <w:pPr>
              <w:keepNext/>
              <w:keepLines/>
              <w:spacing w:after="0" w:line="240" w:lineRule="auto"/>
              <w:jc w:val="center"/>
            </w:pPr>
            <w:r>
              <w:rPr>
                <w:b/>
                <w:sz w:val="18"/>
              </w:rPr>
              <w:t>Indeks (%)</w:t>
            </w:r>
          </w:p>
        </w:tc>
      </w:tr>
      <w:tr w:rsidR="00300EF3" w14:paraId="2DB73C39" w14:textId="77777777">
        <w:tblPrEx>
          <w:tblCellMar>
            <w:top w:w="0" w:type="dxa"/>
            <w:bottom w:w="0" w:type="dxa"/>
          </w:tblCellMar>
        </w:tblPrEx>
        <w:trPr>
          <w:cantSplit/>
          <w:trHeight w:val="560"/>
        </w:trPr>
        <w:tc>
          <w:tcPr>
            <w:tcW w:w="700" w:type="dxa"/>
            <w:tcMar>
              <w:top w:w="0" w:type="dxa"/>
              <w:bottom w:w="0" w:type="dxa"/>
            </w:tcMar>
            <w:vAlign w:val="center"/>
          </w:tcPr>
          <w:p w14:paraId="753B2056" w14:textId="77777777" w:rsidR="00300EF3" w:rsidRDefault="00E42C6C">
            <w:pPr>
              <w:keepNext/>
              <w:keepLines/>
              <w:spacing w:after="0" w:line="240" w:lineRule="auto"/>
            </w:pPr>
            <w:r>
              <w:rPr>
                <w:sz w:val="18"/>
              </w:rPr>
              <w:t>92211</w:t>
            </w:r>
          </w:p>
        </w:tc>
        <w:tc>
          <w:tcPr>
            <w:tcW w:w="3180" w:type="dxa"/>
            <w:tcMar>
              <w:top w:w="0" w:type="dxa"/>
              <w:bottom w:w="0" w:type="dxa"/>
            </w:tcMar>
            <w:vAlign w:val="center"/>
          </w:tcPr>
          <w:p w14:paraId="78548ADC" w14:textId="77777777" w:rsidR="00300EF3" w:rsidRDefault="00E42C6C">
            <w:pPr>
              <w:keepNext/>
              <w:keepLines/>
              <w:spacing w:after="0" w:line="240" w:lineRule="auto"/>
            </w:pPr>
            <w:r>
              <w:rPr>
                <w:sz w:val="18"/>
              </w:rPr>
              <w:t>Višak prihoda poslovanja</w:t>
            </w:r>
          </w:p>
        </w:tc>
        <w:tc>
          <w:tcPr>
            <w:tcW w:w="700" w:type="dxa"/>
            <w:tcMar>
              <w:top w:w="0" w:type="dxa"/>
              <w:bottom w:w="0" w:type="dxa"/>
            </w:tcMar>
            <w:vAlign w:val="center"/>
          </w:tcPr>
          <w:p w14:paraId="5E60116E" w14:textId="77777777" w:rsidR="00300EF3" w:rsidRDefault="00E42C6C">
            <w:pPr>
              <w:keepNext/>
              <w:keepLines/>
              <w:spacing w:after="0" w:line="240" w:lineRule="auto"/>
            </w:pPr>
            <w:r>
              <w:rPr>
                <w:sz w:val="18"/>
              </w:rPr>
              <w:t>92211</w:t>
            </w:r>
          </w:p>
        </w:tc>
        <w:tc>
          <w:tcPr>
            <w:tcW w:w="1860" w:type="dxa"/>
            <w:tcMar>
              <w:top w:w="0" w:type="dxa"/>
              <w:bottom w:w="0" w:type="dxa"/>
            </w:tcMar>
            <w:vAlign w:val="center"/>
          </w:tcPr>
          <w:p w14:paraId="26899E60" w14:textId="77777777" w:rsidR="00300EF3" w:rsidRDefault="00E42C6C">
            <w:pPr>
              <w:keepNext/>
              <w:keepLines/>
              <w:spacing w:after="0" w:line="240" w:lineRule="auto"/>
              <w:jc w:val="right"/>
            </w:pPr>
            <w:r>
              <w:rPr>
                <w:sz w:val="18"/>
              </w:rPr>
              <w:t>1.279.719,88</w:t>
            </w:r>
          </w:p>
        </w:tc>
        <w:tc>
          <w:tcPr>
            <w:tcW w:w="1860" w:type="dxa"/>
            <w:tcMar>
              <w:top w:w="0" w:type="dxa"/>
              <w:bottom w:w="0" w:type="dxa"/>
            </w:tcMar>
            <w:vAlign w:val="center"/>
          </w:tcPr>
          <w:p w14:paraId="088D948E" w14:textId="77777777" w:rsidR="00300EF3" w:rsidRDefault="00E42C6C">
            <w:pPr>
              <w:keepNext/>
              <w:keepLines/>
              <w:spacing w:after="0" w:line="240" w:lineRule="auto"/>
              <w:jc w:val="right"/>
            </w:pPr>
            <w:r>
              <w:rPr>
                <w:sz w:val="18"/>
              </w:rPr>
              <w:t>2.131.537,53</w:t>
            </w:r>
          </w:p>
        </w:tc>
        <w:tc>
          <w:tcPr>
            <w:tcW w:w="700" w:type="dxa"/>
            <w:tcMar>
              <w:top w:w="0" w:type="dxa"/>
              <w:bottom w:w="0" w:type="dxa"/>
            </w:tcMar>
            <w:vAlign w:val="center"/>
          </w:tcPr>
          <w:p w14:paraId="3A88D098" w14:textId="77777777" w:rsidR="00300EF3" w:rsidRDefault="00E42C6C">
            <w:pPr>
              <w:keepNext/>
              <w:keepLines/>
              <w:spacing w:after="0" w:line="240" w:lineRule="auto"/>
              <w:jc w:val="right"/>
            </w:pPr>
            <w:r>
              <w:rPr>
                <w:sz w:val="18"/>
              </w:rPr>
              <w:t>166,6</w:t>
            </w:r>
          </w:p>
        </w:tc>
      </w:tr>
    </w:tbl>
    <w:p w14:paraId="698E2AD9" w14:textId="77777777" w:rsidR="00300EF3" w:rsidRDefault="00300EF3">
      <w:pPr>
        <w:spacing w:after="0"/>
      </w:pPr>
    </w:p>
    <w:p w14:paraId="0E0EC65D" w14:textId="77777777" w:rsidR="00300EF3" w:rsidRDefault="00E42C6C">
      <w:pPr>
        <w:jc w:val="both"/>
      </w:pPr>
      <w:r>
        <w:t>Višak prihoda poslovanja – višak u visini 2.131.537,53 € nastao je nakon što se ostvareni višak prihoda poslovanja tekuće godine iz PR-RAS obrasca (Račun / Šifra X001) u visini od 4.213.908,67 € uveća za preneseni višak prihoda poslovanja iz prethodne godine u iznosu od 26.056,86 € i za korekciju rezultata za kapitalna ulaganja u visini 2.108.428,00 €.</w:t>
      </w:r>
    </w:p>
    <w:p w14:paraId="67DC971A" w14:textId="77777777" w:rsidR="00300EF3" w:rsidRDefault="00300EF3"/>
    <w:p w14:paraId="149DBEED" w14:textId="77777777" w:rsidR="00300EF3" w:rsidRDefault="00E42C6C">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586FDA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B254F5"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71D9BA"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BA7A2E"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EE1DBD" w14:textId="77777777" w:rsidR="00300EF3" w:rsidRDefault="00E42C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5F7AC22" w14:textId="77777777" w:rsidR="00300EF3" w:rsidRDefault="00E42C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9937156" w14:textId="77777777" w:rsidR="00300EF3" w:rsidRDefault="00E42C6C">
            <w:pPr>
              <w:keepNext/>
              <w:keepLines/>
              <w:spacing w:after="0" w:line="240" w:lineRule="auto"/>
              <w:jc w:val="center"/>
            </w:pPr>
            <w:r>
              <w:rPr>
                <w:b/>
                <w:sz w:val="18"/>
              </w:rPr>
              <w:t>Indeks (%)</w:t>
            </w:r>
          </w:p>
        </w:tc>
      </w:tr>
      <w:tr w:rsidR="00300EF3" w14:paraId="76031CBF" w14:textId="77777777">
        <w:tblPrEx>
          <w:tblCellMar>
            <w:top w:w="0" w:type="dxa"/>
            <w:bottom w:w="0" w:type="dxa"/>
          </w:tblCellMar>
        </w:tblPrEx>
        <w:trPr>
          <w:cantSplit/>
          <w:trHeight w:val="560"/>
        </w:trPr>
        <w:tc>
          <w:tcPr>
            <w:tcW w:w="700" w:type="dxa"/>
            <w:tcMar>
              <w:top w:w="0" w:type="dxa"/>
              <w:bottom w:w="0" w:type="dxa"/>
            </w:tcMar>
            <w:vAlign w:val="center"/>
          </w:tcPr>
          <w:p w14:paraId="560C9DC1" w14:textId="77777777" w:rsidR="00300EF3" w:rsidRDefault="00E42C6C">
            <w:pPr>
              <w:keepNext/>
              <w:keepLines/>
              <w:spacing w:after="0" w:line="240" w:lineRule="auto"/>
            </w:pPr>
            <w:r>
              <w:rPr>
                <w:sz w:val="18"/>
              </w:rPr>
              <w:t>92212</w:t>
            </w:r>
          </w:p>
        </w:tc>
        <w:tc>
          <w:tcPr>
            <w:tcW w:w="3180" w:type="dxa"/>
            <w:tcMar>
              <w:top w:w="0" w:type="dxa"/>
              <w:bottom w:w="0" w:type="dxa"/>
            </w:tcMar>
            <w:vAlign w:val="center"/>
          </w:tcPr>
          <w:p w14:paraId="3D0CD313" w14:textId="77777777" w:rsidR="00300EF3" w:rsidRDefault="00E42C6C">
            <w:pPr>
              <w:keepNext/>
              <w:keepLines/>
              <w:spacing w:after="0" w:line="240" w:lineRule="auto"/>
            </w:pPr>
            <w:r>
              <w:rPr>
                <w:sz w:val="18"/>
              </w:rPr>
              <w:t>Višak prihoda od nefinancijske imovine</w:t>
            </w:r>
          </w:p>
        </w:tc>
        <w:tc>
          <w:tcPr>
            <w:tcW w:w="700" w:type="dxa"/>
            <w:tcMar>
              <w:top w:w="0" w:type="dxa"/>
              <w:bottom w:w="0" w:type="dxa"/>
            </w:tcMar>
            <w:vAlign w:val="center"/>
          </w:tcPr>
          <w:p w14:paraId="300A5133" w14:textId="77777777" w:rsidR="00300EF3" w:rsidRDefault="00E42C6C">
            <w:pPr>
              <w:keepNext/>
              <w:keepLines/>
              <w:spacing w:after="0" w:line="240" w:lineRule="auto"/>
            </w:pPr>
            <w:r>
              <w:rPr>
                <w:sz w:val="18"/>
              </w:rPr>
              <w:t>92212</w:t>
            </w:r>
          </w:p>
        </w:tc>
        <w:tc>
          <w:tcPr>
            <w:tcW w:w="1860" w:type="dxa"/>
            <w:tcMar>
              <w:top w:w="0" w:type="dxa"/>
              <w:bottom w:w="0" w:type="dxa"/>
            </w:tcMar>
            <w:vAlign w:val="center"/>
          </w:tcPr>
          <w:p w14:paraId="16D9EE71" w14:textId="77777777" w:rsidR="00300EF3" w:rsidRDefault="00E42C6C">
            <w:pPr>
              <w:keepNext/>
              <w:keepLines/>
              <w:spacing w:after="0" w:line="240" w:lineRule="auto"/>
              <w:jc w:val="right"/>
            </w:pPr>
            <w:r>
              <w:rPr>
                <w:sz w:val="18"/>
              </w:rPr>
              <w:t>0,00</w:t>
            </w:r>
          </w:p>
        </w:tc>
        <w:tc>
          <w:tcPr>
            <w:tcW w:w="1860" w:type="dxa"/>
            <w:tcMar>
              <w:top w:w="0" w:type="dxa"/>
              <w:bottom w:w="0" w:type="dxa"/>
            </w:tcMar>
            <w:vAlign w:val="center"/>
          </w:tcPr>
          <w:p w14:paraId="419D2185" w14:textId="77777777" w:rsidR="00300EF3" w:rsidRDefault="00E42C6C">
            <w:pPr>
              <w:keepNext/>
              <w:keepLines/>
              <w:spacing w:after="0" w:line="240" w:lineRule="auto"/>
              <w:jc w:val="right"/>
            </w:pPr>
            <w:r>
              <w:rPr>
                <w:sz w:val="18"/>
              </w:rPr>
              <w:t>1.134.467,65</w:t>
            </w:r>
          </w:p>
        </w:tc>
        <w:tc>
          <w:tcPr>
            <w:tcW w:w="700" w:type="dxa"/>
            <w:tcMar>
              <w:top w:w="0" w:type="dxa"/>
              <w:bottom w:w="0" w:type="dxa"/>
            </w:tcMar>
            <w:vAlign w:val="center"/>
          </w:tcPr>
          <w:p w14:paraId="441BB532" w14:textId="77777777" w:rsidR="00300EF3" w:rsidRDefault="00E42C6C">
            <w:pPr>
              <w:keepNext/>
              <w:keepLines/>
              <w:spacing w:after="0" w:line="240" w:lineRule="auto"/>
              <w:jc w:val="right"/>
            </w:pPr>
            <w:r>
              <w:rPr>
                <w:sz w:val="18"/>
              </w:rPr>
              <w:t>-</w:t>
            </w:r>
          </w:p>
        </w:tc>
      </w:tr>
    </w:tbl>
    <w:p w14:paraId="7072C691" w14:textId="77777777" w:rsidR="00300EF3" w:rsidRDefault="00300EF3">
      <w:pPr>
        <w:spacing w:after="0"/>
      </w:pPr>
    </w:p>
    <w:p w14:paraId="7E389A30" w14:textId="77777777" w:rsidR="00300EF3" w:rsidRDefault="00E42C6C">
      <w:pPr>
        <w:jc w:val="both"/>
      </w:pPr>
      <w:r>
        <w:t>Višak prihoda od nefinancijske imovine – višak u visini 1.134.467,65 € nastao je nakon što se ostvareni manjak prihoda od nefinancijske imovine tekuće godine iz PR-RAS obrasca (Račun / Šifra Y002) u visini od 2.164.928,10 € umanji za korekciju rezultata za kapitalna ulaganja u visini 2.108.428,00 €, te kada se prebije sa prenesenim viškom prihoda od nefinancijske imovine u visini 1.190.967,75 €.</w:t>
      </w:r>
    </w:p>
    <w:p w14:paraId="5C802AD5" w14:textId="77777777" w:rsidR="00300EF3" w:rsidRDefault="00E42C6C">
      <w:r>
        <w:t>Sukladno članku 215. Pravilnika o proračunskom računovodstvu i Računskom planu napravljena je korekcija rezultata u iznosu od 2.108.428,00 € za:</w:t>
      </w:r>
    </w:p>
    <w:p w14:paraId="3BF80FE9" w14:textId="77777777" w:rsidR="00300EF3" w:rsidRDefault="00E42C6C">
      <w:pPr>
        <w:pStyle w:val="Odlomakpopisa"/>
        <w:numPr>
          <w:ilvl w:val="0"/>
          <w:numId w:val="1"/>
        </w:numPr>
      </w:pPr>
      <w:r>
        <w:t>kapitalne pomoći iz državnog proračuna proračunskim korisnicima proračuna JLP(R)S (račun 6362) – nabavljeno vozilo za izvanbolničku hitnu medicinu (grad Makarska i općine s makarskog područja) i uređaji za opremanje ispostave Supetar (grad Supetar), ukupne vrijednosti 115.500,00 €)</w:t>
      </w:r>
      <w:r>
        <w:br/>
        <w:t> </w:t>
      </w:r>
    </w:p>
    <w:p w14:paraId="36873204" w14:textId="77777777" w:rsidR="00300EF3" w:rsidRDefault="00E42C6C">
      <w:pPr>
        <w:pStyle w:val="Odlomakpopisa"/>
        <w:numPr>
          <w:ilvl w:val="0"/>
          <w:numId w:val="1"/>
        </w:numPr>
      </w:pPr>
      <w:r>
        <w:lastRenderedPageBreak/>
        <w:t>prihod iz nadležnog proračuna za financiranje rashoda za nabavu nefinancijske imovine (račun 67121) – nabavljena  računalna, medicinska i komunikacijska oprema (ukupne vrijednosti 607.928,00 €) i 10 vozila za izvanbolničku hitnu medicinu (ukupne vrijednosti 1.205.000,00 €) te izvršena adaptacija ispostave Vrgorac (180.000,00 €).</w:t>
      </w:r>
    </w:p>
    <w:p w14:paraId="7B968B28" w14:textId="77777777" w:rsidR="00300EF3" w:rsidRDefault="00300EF3"/>
    <w:p w14:paraId="59657737" w14:textId="77777777" w:rsidR="00300EF3" w:rsidRDefault="00E42C6C">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7C090D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9B5239"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AE14FE"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684EA2"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9D6827" w14:textId="77777777" w:rsidR="00300EF3" w:rsidRDefault="00E42C6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FB18F10" w14:textId="77777777" w:rsidR="00300EF3" w:rsidRDefault="00E42C6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9CA2C0F" w14:textId="77777777" w:rsidR="00300EF3" w:rsidRDefault="00E42C6C">
            <w:pPr>
              <w:keepNext/>
              <w:keepLines/>
              <w:spacing w:after="0" w:line="240" w:lineRule="auto"/>
              <w:jc w:val="center"/>
            </w:pPr>
            <w:r>
              <w:rPr>
                <w:b/>
                <w:sz w:val="18"/>
              </w:rPr>
              <w:t>Indeks (%)</w:t>
            </w:r>
          </w:p>
        </w:tc>
      </w:tr>
      <w:tr w:rsidR="00300EF3" w14:paraId="72FBFA65" w14:textId="77777777">
        <w:tblPrEx>
          <w:tblCellMar>
            <w:top w:w="0" w:type="dxa"/>
            <w:bottom w:w="0" w:type="dxa"/>
          </w:tblCellMar>
        </w:tblPrEx>
        <w:trPr>
          <w:cantSplit/>
          <w:trHeight w:val="560"/>
        </w:trPr>
        <w:tc>
          <w:tcPr>
            <w:tcW w:w="700" w:type="dxa"/>
            <w:tcMar>
              <w:top w:w="0" w:type="dxa"/>
              <w:bottom w:w="0" w:type="dxa"/>
            </w:tcMar>
            <w:vAlign w:val="center"/>
          </w:tcPr>
          <w:p w14:paraId="0260369F" w14:textId="77777777" w:rsidR="00300EF3" w:rsidRDefault="00E42C6C">
            <w:pPr>
              <w:keepNext/>
              <w:keepLines/>
              <w:spacing w:after="0" w:line="240" w:lineRule="auto"/>
            </w:pPr>
            <w:r>
              <w:rPr>
                <w:sz w:val="18"/>
              </w:rPr>
              <w:t>996</w:t>
            </w:r>
          </w:p>
        </w:tc>
        <w:tc>
          <w:tcPr>
            <w:tcW w:w="3180" w:type="dxa"/>
            <w:tcMar>
              <w:top w:w="0" w:type="dxa"/>
              <w:bottom w:w="0" w:type="dxa"/>
            </w:tcMar>
            <w:vAlign w:val="center"/>
          </w:tcPr>
          <w:p w14:paraId="401C1F18" w14:textId="77777777" w:rsidR="00300EF3" w:rsidRDefault="00E42C6C">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14:paraId="11E1B171" w14:textId="77777777" w:rsidR="00300EF3" w:rsidRDefault="00E42C6C">
            <w:pPr>
              <w:keepNext/>
              <w:keepLines/>
              <w:spacing w:after="0" w:line="240" w:lineRule="auto"/>
            </w:pPr>
            <w:r>
              <w:rPr>
                <w:sz w:val="18"/>
              </w:rPr>
              <w:t>996</w:t>
            </w:r>
          </w:p>
        </w:tc>
        <w:tc>
          <w:tcPr>
            <w:tcW w:w="1860" w:type="dxa"/>
            <w:tcMar>
              <w:top w:w="0" w:type="dxa"/>
              <w:bottom w:w="0" w:type="dxa"/>
            </w:tcMar>
            <w:vAlign w:val="center"/>
          </w:tcPr>
          <w:p w14:paraId="1A60FEBD" w14:textId="77777777" w:rsidR="00300EF3" w:rsidRDefault="00E42C6C">
            <w:pPr>
              <w:keepNext/>
              <w:keepLines/>
              <w:spacing w:after="0" w:line="240" w:lineRule="auto"/>
              <w:jc w:val="right"/>
            </w:pPr>
            <w:r>
              <w:rPr>
                <w:sz w:val="18"/>
              </w:rPr>
              <w:t>1.089.734,27</w:t>
            </w:r>
          </w:p>
        </w:tc>
        <w:tc>
          <w:tcPr>
            <w:tcW w:w="1860" w:type="dxa"/>
            <w:tcMar>
              <w:top w:w="0" w:type="dxa"/>
              <w:bottom w:w="0" w:type="dxa"/>
            </w:tcMar>
            <w:vAlign w:val="center"/>
          </w:tcPr>
          <w:p w14:paraId="16196577" w14:textId="77777777" w:rsidR="00300EF3" w:rsidRDefault="00E42C6C">
            <w:pPr>
              <w:keepNext/>
              <w:keepLines/>
              <w:spacing w:after="0" w:line="240" w:lineRule="auto"/>
              <w:jc w:val="right"/>
            </w:pPr>
            <w:r>
              <w:rPr>
                <w:sz w:val="18"/>
              </w:rPr>
              <w:t>1.852.594,22</w:t>
            </w:r>
          </w:p>
        </w:tc>
        <w:tc>
          <w:tcPr>
            <w:tcW w:w="700" w:type="dxa"/>
            <w:tcMar>
              <w:top w:w="0" w:type="dxa"/>
              <w:bottom w:w="0" w:type="dxa"/>
            </w:tcMar>
            <w:vAlign w:val="center"/>
          </w:tcPr>
          <w:p w14:paraId="675640AC" w14:textId="77777777" w:rsidR="00300EF3" w:rsidRDefault="00E42C6C">
            <w:pPr>
              <w:keepNext/>
              <w:keepLines/>
              <w:spacing w:after="0" w:line="240" w:lineRule="auto"/>
              <w:jc w:val="right"/>
            </w:pPr>
            <w:r>
              <w:rPr>
                <w:sz w:val="18"/>
              </w:rPr>
              <w:t>170,0</w:t>
            </w:r>
          </w:p>
        </w:tc>
      </w:tr>
    </w:tbl>
    <w:p w14:paraId="47C1F4D2" w14:textId="77777777" w:rsidR="00300EF3" w:rsidRDefault="00300EF3">
      <w:pPr>
        <w:spacing w:after="0"/>
      </w:pPr>
    </w:p>
    <w:p w14:paraId="76D9E724" w14:textId="77777777" w:rsidR="00300EF3" w:rsidRDefault="00E42C6C">
      <w:pPr>
        <w:jc w:val="both"/>
      </w:pPr>
      <w:proofErr w:type="spellStart"/>
      <w:r>
        <w:t>Izvanbilančni</w:t>
      </w:r>
      <w:proofErr w:type="spellEnd"/>
      <w:r>
        <w:t xml:space="preserve"> zapisi – aktiva i pasiva sadrži podatke u visini 1.852.594,22 € što je povećanje od 762.859,95 € odnosno 70 % u odnosu na stanje na početku godine. Povećanje je posljedica uvođenja novih </w:t>
      </w:r>
      <w:proofErr w:type="spellStart"/>
      <w:r>
        <w:t>izvanbilančnih</w:t>
      </w:r>
      <w:proofErr w:type="spellEnd"/>
      <w:r>
        <w:t xml:space="preserve"> zapisa (čl.109 Pravilnika) i to: preuzete obveze po ugovoru (143.626,18 €) i potraživanja po ugovorima o dodijeljenim bespovratnim sredstvima iz EU fondova (548.470,45 €). Do povećanja je došlo i zbog većih instrumenata osiguranja plaćanja u postupcima javne nabave koji su veći za 106.846,05 € u odnosu na st</w:t>
      </w:r>
      <w:r>
        <w:t>anje na početku godine.</w:t>
      </w:r>
    </w:p>
    <w:p w14:paraId="20853B87" w14:textId="77777777" w:rsidR="00300EF3" w:rsidRDefault="00300EF3"/>
    <w:p w14:paraId="32496FCD" w14:textId="77777777" w:rsidR="00300EF3" w:rsidRDefault="00E42C6C">
      <w:pPr>
        <w:keepNext/>
        <w:spacing w:line="240" w:lineRule="auto"/>
        <w:jc w:val="center"/>
      </w:pPr>
      <w:r>
        <w:rPr>
          <w:b/>
          <w:sz w:val="28"/>
        </w:rPr>
        <w:t>Izvještaj o rashodima prema funkcijskoj klasifikaciji</w:t>
      </w:r>
    </w:p>
    <w:p w14:paraId="4652E96F" w14:textId="77777777" w:rsidR="00300EF3" w:rsidRDefault="00E42C6C">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286BA7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D2189E"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0768AD"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477150"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D2FA4F" w14:textId="77777777" w:rsidR="00300EF3" w:rsidRDefault="00E42C6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D96013" w14:textId="77777777" w:rsidR="00300EF3" w:rsidRDefault="00E42C6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47754C" w14:textId="77777777" w:rsidR="00300EF3" w:rsidRDefault="00E42C6C">
            <w:pPr>
              <w:keepNext/>
              <w:keepLines/>
              <w:spacing w:after="0" w:line="240" w:lineRule="auto"/>
              <w:jc w:val="center"/>
            </w:pPr>
            <w:r>
              <w:rPr>
                <w:b/>
                <w:sz w:val="18"/>
              </w:rPr>
              <w:t>Indeks (%)</w:t>
            </w:r>
          </w:p>
        </w:tc>
      </w:tr>
      <w:tr w:rsidR="00300EF3" w14:paraId="564F975E" w14:textId="77777777">
        <w:tblPrEx>
          <w:tblCellMar>
            <w:top w:w="0" w:type="dxa"/>
            <w:bottom w:w="0" w:type="dxa"/>
          </w:tblCellMar>
        </w:tblPrEx>
        <w:trPr>
          <w:cantSplit/>
          <w:trHeight w:val="560"/>
        </w:trPr>
        <w:tc>
          <w:tcPr>
            <w:tcW w:w="700" w:type="dxa"/>
            <w:tcMar>
              <w:top w:w="0" w:type="dxa"/>
              <w:bottom w:w="0" w:type="dxa"/>
            </w:tcMar>
            <w:vAlign w:val="center"/>
          </w:tcPr>
          <w:p w14:paraId="45067B06" w14:textId="77777777" w:rsidR="00300EF3" w:rsidRDefault="00E42C6C">
            <w:pPr>
              <w:keepNext/>
              <w:keepLines/>
              <w:spacing w:after="0" w:line="240" w:lineRule="auto"/>
            </w:pPr>
            <w:r>
              <w:rPr>
                <w:sz w:val="18"/>
              </w:rPr>
              <w:t>07</w:t>
            </w:r>
          </w:p>
        </w:tc>
        <w:tc>
          <w:tcPr>
            <w:tcW w:w="3180" w:type="dxa"/>
            <w:tcMar>
              <w:top w:w="0" w:type="dxa"/>
              <w:bottom w:w="0" w:type="dxa"/>
            </w:tcMar>
            <w:vAlign w:val="center"/>
          </w:tcPr>
          <w:p w14:paraId="24AA69A0" w14:textId="77777777" w:rsidR="00300EF3" w:rsidRDefault="00E42C6C">
            <w:pPr>
              <w:keepNext/>
              <w:keepLines/>
              <w:spacing w:after="0" w:line="240" w:lineRule="auto"/>
            </w:pPr>
            <w:r>
              <w:rPr>
                <w:sz w:val="18"/>
              </w:rPr>
              <w:t>Zdravstvo (šifre 071+072+073+074+075+076)</w:t>
            </w:r>
          </w:p>
        </w:tc>
        <w:tc>
          <w:tcPr>
            <w:tcW w:w="700" w:type="dxa"/>
            <w:tcMar>
              <w:top w:w="0" w:type="dxa"/>
              <w:bottom w:w="0" w:type="dxa"/>
            </w:tcMar>
            <w:vAlign w:val="center"/>
          </w:tcPr>
          <w:p w14:paraId="38A2EDCD" w14:textId="77777777" w:rsidR="00300EF3" w:rsidRDefault="00E42C6C">
            <w:pPr>
              <w:keepNext/>
              <w:keepLines/>
              <w:spacing w:after="0" w:line="240" w:lineRule="auto"/>
            </w:pPr>
            <w:r>
              <w:rPr>
                <w:sz w:val="18"/>
              </w:rPr>
              <w:t>07</w:t>
            </w:r>
          </w:p>
        </w:tc>
        <w:tc>
          <w:tcPr>
            <w:tcW w:w="1860" w:type="dxa"/>
            <w:tcMar>
              <w:top w:w="0" w:type="dxa"/>
              <w:bottom w:w="0" w:type="dxa"/>
            </w:tcMar>
            <w:vAlign w:val="center"/>
          </w:tcPr>
          <w:p w14:paraId="5D89A0AC" w14:textId="77777777" w:rsidR="00300EF3" w:rsidRDefault="00E42C6C">
            <w:pPr>
              <w:keepNext/>
              <w:keepLines/>
              <w:spacing w:after="0" w:line="240" w:lineRule="auto"/>
              <w:jc w:val="right"/>
            </w:pPr>
            <w:r>
              <w:rPr>
                <w:sz w:val="18"/>
              </w:rPr>
              <w:t>28.295.139,02</w:t>
            </w:r>
          </w:p>
        </w:tc>
        <w:tc>
          <w:tcPr>
            <w:tcW w:w="1860" w:type="dxa"/>
            <w:tcMar>
              <w:top w:w="0" w:type="dxa"/>
              <w:bottom w:w="0" w:type="dxa"/>
            </w:tcMar>
            <w:vAlign w:val="center"/>
          </w:tcPr>
          <w:p w14:paraId="03E5C01A" w14:textId="77777777" w:rsidR="00300EF3" w:rsidRDefault="00E42C6C">
            <w:pPr>
              <w:keepNext/>
              <w:keepLines/>
              <w:spacing w:after="0" w:line="240" w:lineRule="auto"/>
              <w:jc w:val="right"/>
            </w:pPr>
            <w:r>
              <w:rPr>
                <w:sz w:val="18"/>
              </w:rPr>
              <w:t>31.383.735,41</w:t>
            </w:r>
          </w:p>
        </w:tc>
        <w:tc>
          <w:tcPr>
            <w:tcW w:w="700" w:type="dxa"/>
            <w:tcMar>
              <w:top w:w="0" w:type="dxa"/>
              <w:bottom w:w="0" w:type="dxa"/>
            </w:tcMar>
            <w:vAlign w:val="center"/>
          </w:tcPr>
          <w:p w14:paraId="20076237" w14:textId="77777777" w:rsidR="00300EF3" w:rsidRDefault="00E42C6C">
            <w:pPr>
              <w:keepNext/>
              <w:keepLines/>
              <w:spacing w:after="0" w:line="240" w:lineRule="auto"/>
              <w:jc w:val="right"/>
            </w:pPr>
            <w:r>
              <w:rPr>
                <w:sz w:val="18"/>
              </w:rPr>
              <w:t>110,9</w:t>
            </w:r>
          </w:p>
        </w:tc>
      </w:tr>
    </w:tbl>
    <w:p w14:paraId="466EE49D" w14:textId="77777777" w:rsidR="00300EF3" w:rsidRDefault="00300EF3">
      <w:pPr>
        <w:spacing w:after="0"/>
      </w:pPr>
    </w:p>
    <w:p w14:paraId="2745315B" w14:textId="77777777" w:rsidR="00300EF3" w:rsidRDefault="00E42C6C">
      <w:pPr>
        <w:jc w:val="both"/>
      </w:pPr>
      <w:r>
        <w:t>Ukupni rashodi poslovanja i rashodi za nabavu nefinancijske imovine iznose 31.383.735,41 € i iskazani su prema funkcijskoj klasifikaciji u okviru Zdravstva pod Opće medicinske usluge. Opće medicinske usluge ostvarene su 10,9 % više u odnosu na prethodnu godinu.</w:t>
      </w:r>
    </w:p>
    <w:p w14:paraId="24832D21" w14:textId="77777777" w:rsidR="00300EF3" w:rsidRDefault="00300EF3"/>
    <w:p w14:paraId="5766FFE3" w14:textId="77777777" w:rsidR="00300EF3" w:rsidRDefault="00E42C6C">
      <w:pPr>
        <w:keepNext/>
        <w:spacing w:line="240" w:lineRule="auto"/>
        <w:jc w:val="center"/>
      </w:pPr>
      <w:r>
        <w:rPr>
          <w:b/>
          <w:sz w:val="28"/>
        </w:rPr>
        <w:t>Promjene u vrijednosti i obujmu imovine i obveza</w:t>
      </w:r>
    </w:p>
    <w:p w14:paraId="25738A72" w14:textId="77777777" w:rsidR="00300EF3" w:rsidRDefault="00E42C6C">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7BC9436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930F3B"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BC1FC8"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1BEADD"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0DE464" w14:textId="77777777" w:rsidR="00300EF3" w:rsidRDefault="00E42C6C">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DFFD4CE" w14:textId="77777777" w:rsidR="00300EF3" w:rsidRDefault="00E42C6C">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A939BB5" w14:textId="77777777" w:rsidR="00300EF3" w:rsidRDefault="00E42C6C">
            <w:pPr>
              <w:keepNext/>
              <w:keepLines/>
              <w:spacing w:after="0" w:line="240" w:lineRule="auto"/>
              <w:jc w:val="center"/>
            </w:pPr>
            <w:r>
              <w:rPr>
                <w:b/>
                <w:sz w:val="18"/>
              </w:rPr>
              <w:t>Indeks (%)</w:t>
            </w:r>
          </w:p>
        </w:tc>
      </w:tr>
      <w:tr w:rsidR="00300EF3" w14:paraId="56AA6853" w14:textId="77777777">
        <w:tblPrEx>
          <w:tblCellMar>
            <w:top w:w="0" w:type="dxa"/>
            <w:bottom w:w="0" w:type="dxa"/>
          </w:tblCellMar>
        </w:tblPrEx>
        <w:trPr>
          <w:cantSplit/>
          <w:trHeight w:val="560"/>
        </w:trPr>
        <w:tc>
          <w:tcPr>
            <w:tcW w:w="700" w:type="dxa"/>
            <w:tcMar>
              <w:top w:w="0" w:type="dxa"/>
              <w:bottom w:w="0" w:type="dxa"/>
            </w:tcMar>
            <w:vAlign w:val="center"/>
          </w:tcPr>
          <w:p w14:paraId="732C69D0" w14:textId="77777777" w:rsidR="00300EF3" w:rsidRDefault="00300EF3">
            <w:pPr>
              <w:keepNext/>
              <w:keepLines/>
              <w:spacing w:after="0" w:line="240" w:lineRule="auto"/>
            </w:pPr>
          </w:p>
        </w:tc>
        <w:tc>
          <w:tcPr>
            <w:tcW w:w="3180" w:type="dxa"/>
            <w:tcMar>
              <w:top w:w="0" w:type="dxa"/>
              <w:bottom w:w="0" w:type="dxa"/>
            </w:tcMar>
            <w:vAlign w:val="center"/>
          </w:tcPr>
          <w:p w14:paraId="09E439D7" w14:textId="77777777" w:rsidR="00300EF3" w:rsidRDefault="00E42C6C">
            <w:pPr>
              <w:keepNext/>
              <w:keepLines/>
              <w:spacing w:after="0" w:line="240" w:lineRule="auto"/>
            </w:pPr>
            <w:r>
              <w:rPr>
                <w:sz w:val="18"/>
              </w:rPr>
              <w:t>Proizvedena dugotrajna imovina</w:t>
            </w:r>
          </w:p>
        </w:tc>
        <w:tc>
          <w:tcPr>
            <w:tcW w:w="700" w:type="dxa"/>
            <w:tcMar>
              <w:top w:w="0" w:type="dxa"/>
              <w:bottom w:w="0" w:type="dxa"/>
            </w:tcMar>
            <w:vAlign w:val="center"/>
          </w:tcPr>
          <w:p w14:paraId="138BA887" w14:textId="77777777" w:rsidR="00300EF3" w:rsidRDefault="00E42C6C">
            <w:pPr>
              <w:keepNext/>
              <w:keepLines/>
              <w:spacing w:after="0" w:line="240" w:lineRule="auto"/>
            </w:pPr>
            <w:r>
              <w:rPr>
                <w:sz w:val="18"/>
              </w:rPr>
              <w:t>P003</w:t>
            </w:r>
          </w:p>
        </w:tc>
        <w:tc>
          <w:tcPr>
            <w:tcW w:w="1860" w:type="dxa"/>
            <w:tcMar>
              <w:top w:w="0" w:type="dxa"/>
              <w:bottom w:w="0" w:type="dxa"/>
            </w:tcMar>
            <w:vAlign w:val="center"/>
          </w:tcPr>
          <w:p w14:paraId="6FCCF817" w14:textId="77777777" w:rsidR="00300EF3" w:rsidRDefault="00E42C6C">
            <w:pPr>
              <w:keepNext/>
              <w:keepLines/>
              <w:spacing w:after="0" w:line="240" w:lineRule="auto"/>
              <w:jc w:val="right"/>
            </w:pPr>
            <w:r>
              <w:rPr>
                <w:sz w:val="18"/>
              </w:rPr>
              <w:t>0,00</w:t>
            </w:r>
          </w:p>
        </w:tc>
        <w:tc>
          <w:tcPr>
            <w:tcW w:w="1860" w:type="dxa"/>
            <w:tcMar>
              <w:top w:w="0" w:type="dxa"/>
              <w:bottom w:w="0" w:type="dxa"/>
            </w:tcMar>
            <w:vAlign w:val="center"/>
          </w:tcPr>
          <w:p w14:paraId="25567B46" w14:textId="77777777" w:rsidR="00300EF3" w:rsidRDefault="00E42C6C">
            <w:pPr>
              <w:keepNext/>
              <w:keepLines/>
              <w:spacing w:after="0" w:line="240" w:lineRule="auto"/>
              <w:jc w:val="right"/>
            </w:pPr>
            <w:r>
              <w:rPr>
                <w:sz w:val="18"/>
              </w:rPr>
              <w:t>1.062.673,83</w:t>
            </w:r>
          </w:p>
        </w:tc>
        <w:tc>
          <w:tcPr>
            <w:tcW w:w="700" w:type="dxa"/>
            <w:tcMar>
              <w:top w:w="0" w:type="dxa"/>
              <w:bottom w:w="0" w:type="dxa"/>
            </w:tcMar>
            <w:vAlign w:val="center"/>
          </w:tcPr>
          <w:p w14:paraId="01C3FC15" w14:textId="77777777" w:rsidR="00300EF3" w:rsidRDefault="00E42C6C">
            <w:pPr>
              <w:keepNext/>
              <w:keepLines/>
              <w:spacing w:after="0" w:line="240" w:lineRule="auto"/>
              <w:jc w:val="right"/>
            </w:pPr>
            <w:r>
              <w:rPr>
                <w:sz w:val="18"/>
              </w:rPr>
              <w:t>-</w:t>
            </w:r>
          </w:p>
        </w:tc>
      </w:tr>
    </w:tbl>
    <w:p w14:paraId="627128EC" w14:textId="77777777" w:rsidR="00300EF3" w:rsidRDefault="00300EF3">
      <w:pPr>
        <w:spacing w:after="0"/>
      </w:pPr>
    </w:p>
    <w:p w14:paraId="2A3BBE60" w14:textId="77777777" w:rsidR="00300EF3" w:rsidRDefault="00E42C6C">
      <w:pPr>
        <w:jc w:val="both"/>
      </w:pPr>
      <w:r>
        <w:lastRenderedPageBreak/>
        <w:t>Na ovoj poziciji iskazano je smanjenje vrijednosti imovine u visini 1.062.673,83 € za obračunati ispravak vrijednosti dugotrajne nefinancijske imovine na dan 31.12.2025.g. </w:t>
      </w:r>
    </w:p>
    <w:p w14:paraId="51033E25" w14:textId="77777777" w:rsidR="00300EF3" w:rsidRDefault="00300EF3"/>
    <w:p w14:paraId="0473E00C" w14:textId="77777777" w:rsidR="00300EF3" w:rsidRDefault="00E42C6C">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00EF3" w14:paraId="347F37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66CE39"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0264CE"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E215AA"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660B00" w14:textId="77777777" w:rsidR="00300EF3" w:rsidRDefault="00E42C6C">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2C0DC96" w14:textId="77777777" w:rsidR="00300EF3" w:rsidRDefault="00E42C6C">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BDB3B50" w14:textId="77777777" w:rsidR="00300EF3" w:rsidRDefault="00E42C6C">
            <w:pPr>
              <w:keepNext/>
              <w:keepLines/>
              <w:spacing w:after="0" w:line="240" w:lineRule="auto"/>
              <w:jc w:val="center"/>
            </w:pPr>
            <w:r>
              <w:rPr>
                <w:b/>
                <w:sz w:val="18"/>
              </w:rPr>
              <w:t>Indeks (%)</w:t>
            </w:r>
          </w:p>
        </w:tc>
      </w:tr>
      <w:tr w:rsidR="00300EF3" w14:paraId="69788D2A" w14:textId="77777777">
        <w:tblPrEx>
          <w:tblCellMar>
            <w:top w:w="0" w:type="dxa"/>
            <w:bottom w:w="0" w:type="dxa"/>
          </w:tblCellMar>
        </w:tblPrEx>
        <w:trPr>
          <w:cantSplit/>
          <w:trHeight w:val="560"/>
        </w:trPr>
        <w:tc>
          <w:tcPr>
            <w:tcW w:w="700" w:type="dxa"/>
            <w:tcMar>
              <w:top w:w="0" w:type="dxa"/>
              <w:bottom w:w="0" w:type="dxa"/>
            </w:tcMar>
            <w:vAlign w:val="center"/>
          </w:tcPr>
          <w:p w14:paraId="0F7619F1" w14:textId="77777777" w:rsidR="00300EF3" w:rsidRDefault="00300EF3">
            <w:pPr>
              <w:keepNext/>
              <w:keepLines/>
              <w:spacing w:after="0" w:line="240" w:lineRule="auto"/>
            </w:pPr>
          </w:p>
        </w:tc>
        <w:tc>
          <w:tcPr>
            <w:tcW w:w="3180" w:type="dxa"/>
            <w:tcMar>
              <w:top w:w="0" w:type="dxa"/>
              <w:bottom w:w="0" w:type="dxa"/>
            </w:tcMar>
            <w:vAlign w:val="center"/>
          </w:tcPr>
          <w:p w14:paraId="40CDE7AD" w14:textId="77777777" w:rsidR="00300EF3" w:rsidRDefault="00E42C6C">
            <w:pPr>
              <w:keepNext/>
              <w:keepLines/>
              <w:spacing w:after="0" w:line="240" w:lineRule="auto"/>
            </w:pPr>
            <w:r>
              <w:rPr>
                <w:sz w:val="18"/>
              </w:rPr>
              <w:t>Proizvedena dugotrajna imovina</w:t>
            </w:r>
          </w:p>
        </w:tc>
        <w:tc>
          <w:tcPr>
            <w:tcW w:w="700" w:type="dxa"/>
            <w:tcMar>
              <w:top w:w="0" w:type="dxa"/>
              <w:bottom w:w="0" w:type="dxa"/>
            </w:tcMar>
            <w:vAlign w:val="center"/>
          </w:tcPr>
          <w:p w14:paraId="363DA95F" w14:textId="77777777" w:rsidR="00300EF3" w:rsidRDefault="00E42C6C">
            <w:pPr>
              <w:keepNext/>
              <w:keepLines/>
              <w:spacing w:after="0" w:line="240" w:lineRule="auto"/>
            </w:pPr>
            <w:r>
              <w:rPr>
                <w:sz w:val="18"/>
              </w:rPr>
              <w:t>P018</w:t>
            </w:r>
          </w:p>
        </w:tc>
        <w:tc>
          <w:tcPr>
            <w:tcW w:w="1860" w:type="dxa"/>
            <w:tcMar>
              <w:top w:w="0" w:type="dxa"/>
              <w:bottom w:w="0" w:type="dxa"/>
            </w:tcMar>
            <w:vAlign w:val="center"/>
          </w:tcPr>
          <w:p w14:paraId="76976CF6" w14:textId="77777777" w:rsidR="00300EF3" w:rsidRDefault="00E42C6C">
            <w:pPr>
              <w:keepNext/>
              <w:keepLines/>
              <w:spacing w:after="0" w:line="240" w:lineRule="auto"/>
              <w:jc w:val="right"/>
            </w:pPr>
            <w:r>
              <w:rPr>
                <w:sz w:val="18"/>
              </w:rPr>
              <w:t>19.500,00</w:t>
            </w:r>
          </w:p>
        </w:tc>
        <w:tc>
          <w:tcPr>
            <w:tcW w:w="1860" w:type="dxa"/>
            <w:tcMar>
              <w:top w:w="0" w:type="dxa"/>
              <w:bottom w:w="0" w:type="dxa"/>
            </w:tcMar>
            <w:vAlign w:val="center"/>
          </w:tcPr>
          <w:p w14:paraId="2A3C1633" w14:textId="77777777" w:rsidR="00300EF3" w:rsidRDefault="00E42C6C">
            <w:pPr>
              <w:keepNext/>
              <w:keepLines/>
              <w:spacing w:after="0" w:line="240" w:lineRule="auto"/>
              <w:jc w:val="right"/>
            </w:pPr>
            <w:r>
              <w:rPr>
                <w:sz w:val="18"/>
              </w:rPr>
              <w:t>0,00</w:t>
            </w:r>
          </w:p>
        </w:tc>
        <w:tc>
          <w:tcPr>
            <w:tcW w:w="700" w:type="dxa"/>
            <w:tcMar>
              <w:top w:w="0" w:type="dxa"/>
              <w:bottom w:w="0" w:type="dxa"/>
            </w:tcMar>
            <w:vAlign w:val="center"/>
          </w:tcPr>
          <w:p w14:paraId="5E2C6DAE" w14:textId="77777777" w:rsidR="00300EF3" w:rsidRDefault="00E42C6C">
            <w:pPr>
              <w:keepNext/>
              <w:keepLines/>
              <w:spacing w:after="0" w:line="240" w:lineRule="auto"/>
              <w:jc w:val="right"/>
            </w:pPr>
            <w:r>
              <w:rPr>
                <w:sz w:val="18"/>
              </w:rPr>
              <w:t>0</w:t>
            </w:r>
          </w:p>
        </w:tc>
      </w:tr>
    </w:tbl>
    <w:p w14:paraId="50CC861C" w14:textId="77777777" w:rsidR="00300EF3" w:rsidRDefault="00300EF3">
      <w:pPr>
        <w:spacing w:after="0"/>
      </w:pPr>
    </w:p>
    <w:p w14:paraId="5141B1B1" w14:textId="77777777" w:rsidR="00300EF3" w:rsidRDefault="00E42C6C">
      <w:r>
        <w:t>Na ovoj poziciji iskazano je povećanje obujma imovine u visini 19.500,00 € za primljenu medicinsku opremu (uređaj za masažu srca) od općine Gradac.</w:t>
      </w:r>
    </w:p>
    <w:p w14:paraId="604AC51D" w14:textId="77777777" w:rsidR="00300EF3" w:rsidRDefault="00300EF3"/>
    <w:p w14:paraId="2F78E65E" w14:textId="77777777" w:rsidR="00300EF3" w:rsidRDefault="00E42C6C">
      <w:pPr>
        <w:keepNext/>
        <w:spacing w:line="240" w:lineRule="auto"/>
        <w:jc w:val="center"/>
      </w:pPr>
      <w:r>
        <w:rPr>
          <w:b/>
          <w:sz w:val="28"/>
        </w:rPr>
        <w:t>Izvještaj o obvezama</w:t>
      </w:r>
    </w:p>
    <w:p w14:paraId="4C2A6F27" w14:textId="77777777" w:rsidR="00300EF3" w:rsidRDefault="00E42C6C">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00EF3" w14:paraId="00BB47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F6FE31"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825B2B"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F05165"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6F6230" w14:textId="77777777" w:rsidR="00300EF3" w:rsidRDefault="00E42C6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516A4C0" w14:textId="77777777" w:rsidR="00300EF3" w:rsidRDefault="00E42C6C">
            <w:pPr>
              <w:keepNext/>
              <w:keepLines/>
              <w:spacing w:after="0" w:line="240" w:lineRule="auto"/>
              <w:jc w:val="center"/>
            </w:pPr>
            <w:r>
              <w:rPr>
                <w:b/>
                <w:sz w:val="18"/>
              </w:rPr>
              <w:t>Indeks (%)</w:t>
            </w:r>
          </w:p>
        </w:tc>
      </w:tr>
      <w:tr w:rsidR="00300EF3" w14:paraId="20AA79BF" w14:textId="77777777">
        <w:tblPrEx>
          <w:tblCellMar>
            <w:top w:w="0" w:type="dxa"/>
            <w:bottom w:w="0" w:type="dxa"/>
          </w:tblCellMar>
        </w:tblPrEx>
        <w:trPr>
          <w:cantSplit/>
          <w:trHeight w:val="560"/>
        </w:trPr>
        <w:tc>
          <w:tcPr>
            <w:tcW w:w="700" w:type="dxa"/>
            <w:tcMar>
              <w:top w:w="0" w:type="dxa"/>
              <w:bottom w:w="0" w:type="dxa"/>
            </w:tcMar>
            <w:vAlign w:val="center"/>
          </w:tcPr>
          <w:p w14:paraId="2BADD776" w14:textId="77777777" w:rsidR="00300EF3" w:rsidRDefault="00300EF3">
            <w:pPr>
              <w:keepNext/>
              <w:keepLines/>
              <w:spacing w:after="0" w:line="240" w:lineRule="auto"/>
            </w:pPr>
          </w:p>
        </w:tc>
        <w:tc>
          <w:tcPr>
            <w:tcW w:w="3180" w:type="dxa"/>
            <w:tcMar>
              <w:top w:w="0" w:type="dxa"/>
              <w:bottom w:w="0" w:type="dxa"/>
            </w:tcMar>
            <w:vAlign w:val="center"/>
          </w:tcPr>
          <w:p w14:paraId="472F9C70" w14:textId="77777777" w:rsidR="00300EF3" w:rsidRDefault="00E42C6C">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0891607A" w14:textId="77777777" w:rsidR="00300EF3" w:rsidRDefault="00E42C6C">
            <w:pPr>
              <w:keepNext/>
              <w:keepLines/>
              <w:spacing w:after="0" w:line="240" w:lineRule="auto"/>
            </w:pPr>
            <w:r>
              <w:rPr>
                <w:sz w:val="18"/>
              </w:rPr>
              <w:t>V006</w:t>
            </w:r>
          </w:p>
        </w:tc>
        <w:tc>
          <w:tcPr>
            <w:tcW w:w="1860" w:type="dxa"/>
            <w:tcMar>
              <w:top w:w="0" w:type="dxa"/>
              <w:bottom w:w="0" w:type="dxa"/>
            </w:tcMar>
            <w:vAlign w:val="center"/>
          </w:tcPr>
          <w:p w14:paraId="4C2ED3C7" w14:textId="77777777" w:rsidR="00300EF3" w:rsidRDefault="00E42C6C">
            <w:pPr>
              <w:keepNext/>
              <w:keepLines/>
              <w:spacing w:after="0" w:line="240" w:lineRule="auto"/>
              <w:jc w:val="right"/>
            </w:pPr>
            <w:r>
              <w:rPr>
                <w:sz w:val="18"/>
              </w:rPr>
              <w:t>3.278.368,27</w:t>
            </w:r>
          </w:p>
        </w:tc>
        <w:tc>
          <w:tcPr>
            <w:tcW w:w="700" w:type="dxa"/>
            <w:tcMar>
              <w:top w:w="0" w:type="dxa"/>
              <w:bottom w:w="0" w:type="dxa"/>
            </w:tcMar>
            <w:vAlign w:val="center"/>
          </w:tcPr>
          <w:p w14:paraId="3B7F609F" w14:textId="77777777" w:rsidR="00300EF3" w:rsidRDefault="00E42C6C">
            <w:pPr>
              <w:keepNext/>
              <w:keepLines/>
              <w:spacing w:after="0" w:line="240" w:lineRule="auto"/>
              <w:jc w:val="right"/>
            </w:pPr>
            <w:r>
              <w:rPr>
                <w:sz w:val="18"/>
              </w:rPr>
              <w:t>-</w:t>
            </w:r>
          </w:p>
        </w:tc>
      </w:tr>
    </w:tbl>
    <w:p w14:paraId="470D60E3" w14:textId="77777777" w:rsidR="00300EF3" w:rsidRDefault="00300EF3">
      <w:pPr>
        <w:spacing w:after="0"/>
      </w:pPr>
    </w:p>
    <w:p w14:paraId="674ACFC3" w14:textId="77777777" w:rsidR="00300EF3" w:rsidRDefault="00E42C6C">
      <w:r>
        <w:t>Ukupne obveze Zavoda za hitnu medicinu Splitsko-dalmatinske županije na dan 31. prosinca 2025.g. iznose 3.278.368,27 € te su sve nedospjele.</w:t>
      </w:r>
    </w:p>
    <w:p w14:paraId="3C1149E0" w14:textId="77777777" w:rsidR="00300EF3" w:rsidRDefault="00300EF3"/>
    <w:p w14:paraId="7E4BEEA3" w14:textId="77777777" w:rsidR="00300EF3" w:rsidRDefault="00E42C6C">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00EF3" w14:paraId="42ED21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0EE25E"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0F136E"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693049"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6E4BBD" w14:textId="77777777" w:rsidR="00300EF3" w:rsidRDefault="00E42C6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D5C8F2A" w14:textId="77777777" w:rsidR="00300EF3" w:rsidRDefault="00E42C6C">
            <w:pPr>
              <w:keepNext/>
              <w:keepLines/>
              <w:spacing w:after="0" w:line="240" w:lineRule="auto"/>
              <w:jc w:val="center"/>
            </w:pPr>
            <w:r>
              <w:rPr>
                <w:b/>
                <w:sz w:val="18"/>
              </w:rPr>
              <w:t>Indeks (%)</w:t>
            </w:r>
          </w:p>
        </w:tc>
      </w:tr>
      <w:tr w:rsidR="00300EF3" w14:paraId="53EBC675" w14:textId="77777777">
        <w:tblPrEx>
          <w:tblCellMar>
            <w:top w:w="0" w:type="dxa"/>
            <w:bottom w:w="0" w:type="dxa"/>
          </w:tblCellMar>
        </w:tblPrEx>
        <w:trPr>
          <w:cantSplit/>
          <w:trHeight w:val="560"/>
        </w:trPr>
        <w:tc>
          <w:tcPr>
            <w:tcW w:w="700" w:type="dxa"/>
            <w:tcMar>
              <w:top w:w="0" w:type="dxa"/>
              <w:bottom w:w="0" w:type="dxa"/>
            </w:tcMar>
            <w:vAlign w:val="center"/>
          </w:tcPr>
          <w:p w14:paraId="1E323834" w14:textId="77777777" w:rsidR="00300EF3" w:rsidRDefault="00300EF3">
            <w:pPr>
              <w:keepNext/>
              <w:keepLines/>
              <w:spacing w:after="0" w:line="240" w:lineRule="auto"/>
            </w:pPr>
          </w:p>
        </w:tc>
        <w:tc>
          <w:tcPr>
            <w:tcW w:w="3180" w:type="dxa"/>
            <w:tcMar>
              <w:top w:w="0" w:type="dxa"/>
              <w:bottom w:w="0" w:type="dxa"/>
            </w:tcMar>
            <w:vAlign w:val="center"/>
          </w:tcPr>
          <w:p w14:paraId="07A2DF83" w14:textId="77777777" w:rsidR="00300EF3" w:rsidRDefault="00E42C6C">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E65560C" w14:textId="77777777" w:rsidR="00300EF3" w:rsidRDefault="00E42C6C">
            <w:pPr>
              <w:keepNext/>
              <w:keepLines/>
              <w:spacing w:after="0" w:line="240" w:lineRule="auto"/>
            </w:pPr>
            <w:r>
              <w:rPr>
                <w:sz w:val="18"/>
              </w:rPr>
              <w:t>V007</w:t>
            </w:r>
          </w:p>
        </w:tc>
        <w:tc>
          <w:tcPr>
            <w:tcW w:w="1860" w:type="dxa"/>
            <w:tcMar>
              <w:top w:w="0" w:type="dxa"/>
              <w:bottom w:w="0" w:type="dxa"/>
            </w:tcMar>
            <w:vAlign w:val="center"/>
          </w:tcPr>
          <w:p w14:paraId="60A2B956" w14:textId="77777777" w:rsidR="00300EF3" w:rsidRDefault="00E42C6C">
            <w:pPr>
              <w:keepNext/>
              <w:keepLines/>
              <w:spacing w:after="0" w:line="240" w:lineRule="auto"/>
              <w:jc w:val="right"/>
            </w:pPr>
            <w:r>
              <w:rPr>
                <w:sz w:val="18"/>
              </w:rPr>
              <w:t>0,00</w:t>
            </w:r>
          </w:p>
        </w:tc>
        <w:tc>
          <w:tcPr>
            <w:tcW w:w="700" w:type="dxa"/>
            <w:tcMar>
              <w:top w:w="0" w:type="dxa"/>
              <w:bottom w:w="0" w:type="dxa"/>
            </w:tcMar>
            <w:vAlign w:val="center"/>
          </w:tcPr>
          <w:p w14:paraId="5DAD142C" w14:textId="77777777" w:rsidR="00300EF3" w:rsidRDefault="00E42C6C">
            <w:pPr>
              <w:keepNext/>
              <w:keepLines/>
              <w:spacing w:after="0" w:line="240" w:lineRule="auto"/>
              <w:jc w:val="right"/>
            </w:pPr>
            <w:r>
              <w:rPr>
                <w:sz w:val="18"/>
              </w:rPr>
              <w:t>-</w:t>
            </w:r>
          </w:p>
        </w:tc>
      </w:tr>
    </w:tbl>
    <w:p w14:paraId="1729549E" w14:textId="77777777" w:rsidR="00300EF3" w:rsidRDefault="00300EF3">
      <w:pPr>
        <w:spacing w:after="0"/>
      </w:pPr>
    </w:p>
    <w:p w14:paraId="279FEA45" w14:textId="77777777" w:rsidR="00300EF3" w:rsidRDefault="00E42C6C">
      <w:r>
        <w:t>Zavod za hitnu medicinu Splitsko-dalmatinske županije na dan 31.12.2025.g. nema dospjelih obveza.</w:t>
      </w:r>
    </w:p>
    <w:p w14:paraId="3CEB2DBC" w14:textId="77777777" w:rsidR="00300EF3" w:rsidRDefault="00300EF3"/>
    <w:p w14:paraId="254668E1" w14:textId="77777777" w:rsidR="00300EF3" w:rsidRDefault="00E42C6C">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00EF3" w14:paraId="4EB756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324294" w14:textId="77777777" w:rsidR="00300EF3" w:rsidRDefault="00E42C6C">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30DC24" w14:textId="77777777" w:rsidR="00300EF3" w:rsidRDefault="00E42C6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7A29A5" w14:textId="77777777" w:rsidR="00300EF3" w:rsidRDefault="00E42C6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9C6D3D" w14:textId="77777777" w:rsidR="00300EF3" w:rsidRDefault="00E42C6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E17B63E" w14:textId="77777777" w:rsidR="00300EF3" w:rsidRDefault="00E42C6C">
            <w:pPr>
              <w:keepNext/>
              <w:keepLines/>
              <w:spacing w:after="0" w:line="240" w:lineRule="auto"/>
              <w:jc w:val="center"/>
            </w:pPr>
            <w:r>
              <w:rPr>
                <w:b/>
                <w:sz w:val="18"/>
              </w:rPr>
              <w:t>Indeks (%)</w:t>
            </w:r>
          </w:p>
        </w:tc>
      </w:tr>
      <w:tr w:rsidR="00300EF3" w14:paraId="1E013D58" w14:textId="77777777">
        <w:tblPrEx>
          <w:tblCellMar>
            <w:top w:w="0" w:type="dxa"/>
            <w:bottom w:w="0" w:type="dxa"/>
          </w:tblCellMar>
        </w:tblPrEx>
        <w:trPr>
          <w:cantSplit/>
          <w:trHeight w:val="560"/>
        </w:trPr>
        <w:tc>
          <w:tcPr>
            <w:tcW w:w="700" w:type="dxa"/>
            <w:tcMar>
              <w:top w:w="0" w:type="dxa"/>
              <w:bottom w:w="0" w:type="dxa"/>
            </w:tcMar>
            <w:vAlign w:val="center"/>
          </w:tcPr>
          <w:p w14:paraId="6A879847" w14:textId="77777777" w:rsidR="00300EF3" w:rsidRDefault="00300EF3">
            <w:pPr>
              <w:keepNext/>
              <w:keepLines/>
              <w:spacing w:after="0" w:line="240" w:lineRule="auto"/>
            </w:pPr>
          </w:p>
        </w:tc>
        <w:tc>
          <w:tcPr>
            <w:tcW w:w="3180" w:type="dxa"/>
            <w:tcMar>
              <w:top w:w="0" w:type="dxa"/>
              <w:bottom w:w="0" w:type="dxa"/>
            </w:tcMar>
            <w:vAlign w:val="center"/>
          </w:tcPr>
          <w:p w14:paraId="6EE9D327" w14:textId="77777777" w:rsidR="00300EF3" w:rsidRDefault="00E42C6C">
            <w:pPr>
              <w:keepNext/>
              <w:keepLines/>
              <w:spacing w:after="0" w:line="240" w:lineRule="auto"/>
            </w:pPr>
            <w:r>
              <w:rPr>
                <w:sz w:val="18"/>
              </w:rPr>
              <w:t>Međusobne obveze subjekata općeg proračuna</w:t>
            </w:r>
          </w:p>
        </w:tc>
        <w:tc>
          <w:tcPr>
            <w:tcW w:w="700" w:type="dxa"/>
            <w:tcMar>
              <w:top w:w="0" w:type="dxa"/>
              <w:bottom w:w="0" w:type="dxa"/>
            </w:tcMar>
            <w:vAlign w:val="center"/>
          </w:tcPr>
          <w:p w14:paraId="1B566692" w14:textId="77777777" w:rsidR="00300EF3" w:rsidRDefault="00E42C6C">
            <w:pPr>
              <w:keepNext/>
              <w:keepLines/>
              <w:spacing w:after="0" w:line="240" w:lineRule="auto"/>
            </w:pPr>
            <w:r>
              <w:rPr>
                <w:sz w:val="18"/>
              </w:rPr>
              <w:t>V010</w:t>
            </w:r>
          </w:p>
        </w:tc>
        <w:tc>
          <w:tcPr>
            <w:tcW w:w="1860" w:type="dxa"/>
            <w:tcMar>
              <w:top w:w="0" w:type="dxa"/>
              <w:bottom w:w="0" w:type="dxa"/>
            </w:tcMar>
            <w:vAlign w:val="center"/>
          </w:tcPr>
          <w:p w14:paraId="5CA9BBFD" w14:textId="77777777" w:rsidR="00300EF3" w:rsidRDefault="00E42C6C">
            <w:pPr>
              <w:keepNext/>
              <w:keepLines/>
              <w:spacing w:after="0" w:line="240" w:lineRule="auto"/>
              <w:jc w:val="right"/>
            </w:pPr>
            <w:r>
              <w:rPr>
                <w:sz w:val="18"/>
              </w:rPr>
              <w:t>25.768,15</w:t>
            </w:r>
          </w:p>
        </w:tc>
        <w:tc>
          <w:tcPr>
            <w:tcW w:w="700" w:type="dxa"/>
            <w:tcMar>
              <w:top w:w="0" w:type="dxa"/>
              <w:bottom w:w="0" w:type="dxa"/>
            </w:tcMar>
            <w:vAlign w:val="center"/>
          </w:tcPr>
          <w:p w14:paraId="769DC7A7" w14:textId="77777777" w:rsidR="00300EF3" w:rsidRDefault="00E42C6C">
            <w:pPr>
              <w:keepNext/>
              <w:keepLines/>
              <w:spacing w:after="0" w:line="240" w:lineRule="auto"/>
              <w:jc w:val="right"/>
            </w:pPr>
            <w:r>
              <w:rPr>
                <w:sz w:val="18"/>
              </w:rPr>
              <w:t>-</w:t>
            </w:r>
          </w:p>
        </w:tc>
      </w:tr>
    </w:tbl>
    <w:p w14:paraId="309B0D32" w14:textId="77777777" w:rsidR="00300EF3" w:rsidRDefault="00300EF3">
      <w:pPr>
        <w:spacing w:after="0"/>
      </w:pPr>
    </w:p>
    <w:p w14:paraId="475601CB" w14:textId="77777777" w:rsidR="00300EF3" w:rsidRDefault="00E42C6C">
      <w:pPr>
        <w:jc w:val="both"/>
      </w:pPr>
      <w:r>
        <w:t>Međusobne obveze proračunskih korisnika su nedospjele.</w:t>
      </w:r>
    </w:p>
    <w:p w14:paraId="498F9F4A" w14:textId="77777777" w:rsidR="00300EF3" w:rsidRDefault="00E42C6C">
      <w:pPr>
        <w:jc w:val="both"/>
      </w:pPr>
      <w:r>
        <w:lastRenderedPageBreak/>
        <w:t>Na ovoj poziciji u 2025.g. iskazane su obveze koje Zavod za hitnu medicinu ima prema Domu zdravlja (23.987,25€) i Kliničkom bolničkom centru Split (1.780,90€) na osnovu ugovora o korištenju prostora i usluga, dok prema Nastavnom zavodu za javno zdravstvo na osnovu ugovora o poslovnoj suradnji za zdravstvene preglede zaposlenika i za laboratorijske usluge nema otvorenih obveza na 31.12.2025.g.</w:t>
      </w:r>
    </w:p>
    <w:p w14:paraId="25DEABDB" w14:textId="77777777" w:rsidR="00300EF3" w:rsidRDefault="00300EF3"/>
    <w:p w14:paraId="6A73BF75" w14:textId="77777777" w:rsidR="00300EF3" w:rsidRDefault="00E42C6C">
      <w:pPr>
        <w:keepNext/>
        <w:spacing w:line="240" w:lineRule="auto"/>
        <w:jc w:val="center"/>
      </w:pPr>
      <w:r>
        <w:rPr>
          <w:sz w:val="28"/>
        </w:rPr>
        <w:t>Bilješka 61.</w:t>
      </w:r>
    </w:p>
    <w:p w14:paraId="7584CF9B" w14:textId="77777777" w:rsidR="00300EF3" w:rsidRDefault="00E42C6C">
      <w:pPr>
        <w:spacing w:line="240" w:lineRule="auto"/>
        <w:jc w:val="both"/>
      </w:pPr>
      <w:r>
        <w:rPr>
          <w:b/>
        </w:rPr>
        <w:t>EU izvještaj</w:t>
      </w:r>
    </w:p>
    <w:p w14:paraId="031D60ED" w14:textId="77777777" w:rsidR="00300EF3" w:rsidRDefault="00E42C6C">
      <w:r>
        <w:t>6  - PRIHODI</w:t>
      </w:r>
    </w:p>
    <w:p w14:paraId="191C2211" w14:textId="77777777" w:rsidR="00300EF3" w:rsidRDefault="00E42C6C">
      <w:pPr>
        <w:jc w:val="both"/>
      </w:pPr>
      <w:r>
        <w:t>Iz sredstava Mehanizma za oporavak i otpornost Zavodu za hitnu medicinu SDŽ omogućeno je financiranje specijalizacija zdravstvenih djelatnika koje se financiraju 100 % sredstvima fondova EU u okviru Nacionalnog plana oporavka i otpornosti 2021.-2026.</w:t>
      </w:r>
    </w:p>
    <w:p w14:paraId="6753A1F8" w14:textId="77777777" w:rsidR="00300EF3" w:rsidRDefault="00E42C6C">
      <w:pPr>
        <w:jc w:val="both"/>
      </w:pPr>
      <w:r>
        <w:t>Zavod je u 2023.g. sklopio Ugovor o dodjeli bespovratnih sredstava Specijalističko usavršavanje doktora iz hitne medicine ZHMSDŽ BR.9, kodni broj: NPOO.C5.1.R3-I1.01.088 za provođenje specijalizacije dvije doktorice iz hitne medicine u trajanju od 63 mjeseca, te u 2025.g. sklopio Ugovor o dodjeli bespovratnih sredstava Specijalističko usavršavanje medicinskih sestara i tehničara u ZHMSDŽ br.2, kodni broj: NPOO.C5.1.R3-I2.01.0087, za provođenje dvadeset i dvije specijalizacije medicinskih sestara/tehničara u</w:t>
      </w:r>
      <w:r>
        <w:t xml:space="preserve"> trajanju od 12 mjeseci. Sredstva utrošena na specijalistička usavršavanja refundiraju se sukladno ugovorenoj dinamici podnošenja i odobravanja Zahtjeva za nadoknadom sredstava.</w:t>
      </w:r>
    </w:p>
    <w:p w14:paraId="0E7995FE" w14:textId="77777777" w:rsidR="00300EF3" w:rsidRDefault="00E42C6C">
      <w:pPr>
        <w:jc w:val="both"/>
      </w:pPr>
      <w:r>
        <w:t>U 2025.g. je ostvaren prihod od Tekuće pomoći temeljem prijenosa EU sredstava u iznosu od  622.882,10 €. Zavod je tijekom 2025.g. zaprimio refundaciju sredstava utrošenih za troškove specijalističkog usavršavanja dvadeset i dvije medicinske sestre/tehničara od studenog 2024.g. do rujna 2025.g. U 2025.g. su također refundirana preostala sredstva utrošena za specijalizaciju trinaest medicinskih sestara/tehničara do kraja 2024.g., te troškovi specijalističkog usavršavanja dva doktora medicine od studenog 2024.</w:t>
      </w:r>
      <w:r>
        <w:t>g. do srpnja 2025.g. Prihodi po osnovi refundacije troškova specijalističkog usavršavanja doktora medicine od kolovoza do prosinca 2025.g., te specijalističkog usavršavanja medicinskih sestara i tehničara od listopada do prosinca 2025.g. se očekuju tek u 2026.g.</w:t>
      </w:r>
    </w:p>
    <w:p w14:paraId="697BDE27" w14:textId="77777777" w:rsidR="00300EF3" w:rsidRDefault="00E42C6C">
      <w:r>
        <w:t>3 - RASHODI</w:t>
      </w:r>
    </w:p>
    <w:p w14:paraId="500676CD" w14:textId="77777777" w:rsidR="00300EF3" w:rsidRDefault="00E42C6C">
      <w:pPr>
        <w:jc w:val="both"/>
      </w:pPr>
      <w:r>
        <w:t xml:space="preserve">Rashode poslovanja za provođenje projekata financiranih iz EU sredstava u 2025.g. u ukupnom iznosu od 808.571,39 € najvećim dijelom čine troškovi plaće za dvadeset i dvije medicinske </w:t>
      </w:r>
      <w:proofErr w:type="spellStart"/>
      <w:r>
        <w:t>sestare</w:t>
      </w:r>
      <w:proofErr w:type="spellEnd"/>
      <w:r>
        <w:t>/tehničara u  djelatnosti hitne medicine i dva doktora iz hitne medicine, doprinosi na plaće, te troškovi stručnog usavršavanja zaposlenika.</w:t>
      </w:r>
    </w:p>
    <w:p w14:paraId="2308813F" w14:textId="77777777" w:rsidR="00300EF3" w:rsidRDefault="00E42C6C">
      <w:r>
        <w:t>1638 - POTRAŽIVANJA</w:t>
      </w:r>
    </w:p>
    <w:p w14:paraId="18532182" w14:textId="77777777" w:rsidR="00300EF3" w:rsidRDefault="00E42C6C">
      <w:pPr>
        <w:jc w:val="both"/>
      </w:pPr>
      <w:r>
        <w:t xml:space="preserve">Potraživanja za tekuće pomoći iz državnog proračuna temeljem prijenosa EU sredstava se na dan 31.12.2025.g. sastoje od potraživanih troškova za specijalističko usavršavanje dva </w:t>
      </w:r>
      <w:r>
        <w:lastRenderedPageBreak/>
        <w:t>doktora iz hitne medicine od kolovoza do listopada 2025.g. Zahtjev za nadoknadom sredstava podnesen je u studenom 2025.g., ali navedeni troškovi nisu refundirani do kraja 2025.g.</w:t>
      </w:r>
    </w:p>
    <w:p w14:paraId="483946FA" w14:textId="77777777" w:rsidR="00300EF3" w:rsidRDefault="00300EF3"/>
    <w:sectPr w:rsidR="00300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35A18"/>
    <w:multiLevelType w:val="hybridMultilevel"/>
    <w:tmpl w:val="356E04F2"/>
    <w:name w:val="disc"/>
    <w:lvl w:ilvl="0" w:tplc="2356EBF6">
      <w:start w:val="1"/>
      <w:numFmt w:val="bullet"/>
      <w:lvlText w:val="•"/>
      <w:lvlJc w:val="left"/>
      <w:pPr>
        <w:ind w:left="720" w:hanging="360"/>
      </w:pPr>
    </w:lvl>
    <w:lvl w:ilvl="1" w:tplc="E196D20E">
      <w:start w:val="1"/>
      <w:numFmt w:val="bullet"/>
      <w:lvlText w:val="•"/>
      <w:lvlJc w:val="left"/>
      <w:pPr>
        <w:ind w:left="1440" w:hanging="360"/>
      </w:pPr>
    </w:lvl>
    <w:lvl w:ilvl="2" w:tplc="FAC021D4">
      <w:start w:val="1"/>
      <w:numFmt w:val="bullet"/>
      <w:lvlText w:val="•"/>
      <w:lvlJc w:val="left"/>
      <w:pPr>
        <w:ind w:left="2160" w:hanging="360"/>
      </w:pPr>
    </w:lvl>
    <w:lvl w:ilvl="3" w:tplc="0ADAC3F0">
      <w:start w:val="1"/>
      <w:numFmt w:val="bullet"/>
      <w:lvlText w:val="•"/>
      <w:lvlJc w:val="left"/>
      <w:pPr>
        <w:ind w:left="2880" w:hanging="360"/>
      </w:pPr>
    </w:lvl>
    <w:lvl w:ilvl="4" w:tplc="8862914A">
      <w:start w:val="1"/>
      <w:numFmt w:val="bullet"/>
      <w:lvlText w:val="•"/>
      <w:lvlJc w:val="left"/>
      <w:pPr>
        <w:ind w:left="3600" w:hanging="360"/>
      </w:pPr>
    </w:lvl>
    <w:lvl w:ilvl="5" w:tplc="57165B14">
      <w:start w:val="1"/>
      <w:numFmt w:val="bullet"/>
      <w:lvlText w:val="•"/>
      <w:lvlJc w:val="left"/>
      <w:pPr>
        <w:ind w:left="4320" w:hanging="360"/>
      </w:pPr>
    </w:lvl>
    <w:lvl w:ilvl="6" w:tplc="6D32AEE2">
      <w:start w:val="1"/>
      <w:numFmt w:val="bullet"/>
      <w:lvlText w:val="•"/>
      <w:lvlJc w:val="left"/>
      <w:pPr>
        <w:ind w:left="5040" w:hanging="360"/>
      </w:pPr>
    </w:lvl>
    <w:lvl w:ilvl="7" w:tplc="9FC491F6">
      <w:start w:val="1"/>
      <w:numFmt w:val="bullet"/>
      <w:lvlText w:val="•"/>
      <w:lvlJc w:val="left"/>
      <w:pPr>
        <w:ind w:left="5760" w:hanging="360"/>
      </w:pPr>
    </w:lvl>
    <w:lvl w:ilvl="8" w:tplc="F752BA1E">
      <w:start w:val="1"/>
      <w:numFmt w:val="bullet"/>
      <w:lvlText w:val="•"/>
      <w:lvlJc w:val="left"/>
      <w:pPr>
        <w:ind w:left="6480" w:hanging="360"/>
      </w:pPr>
    </w:lvl>
  </w:abstractNum>
  <w:num w:numId="1" w16cid:durableId="14115838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EF3"/>
    <w:rsid w:val="00300EF3"/>
    <w:rsid w:val="00B835E6"/>
    <w:rsid w:val="00E42C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8A2F7"/>
  <w15:docId w15:val="{45D2B071-7F5D-468E-B6D1-D045416AE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7124</Words>
  <Characters>40613</Characters>
  <Application>Microsoft Office Word</Application>
  <DocSecurity>0</DocSecurity>
  <Lines>338</Lines>
  <Paragraphs>95</Paragraphs>
  <ScaleCrop>false</ScaleCrop>
  <Company/>
  <LinksUpToDate>false</LinksUpToDate>
  <CharactersWithSpaces>47642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dc:creator>
  <cp:lastModifiedBy>Hitna Split</cp:lastModifiedBy>
  <cp:revision>2</cp:revision>
  <cp:lastPrinted>2026-02-02T17:01:00Z</cp:lastPrinted>
  <dcterms:created xsi:type="dcterms:W3CDTF">2026-02-02T17:02:00Z</dcterms:created>
  <dcterms:modified xsi:type="dcterms:W3CDTF">2026-02-02T17:02:00Z</dcterms:modified>
</cp:coreProperties>
</file>